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61700D70" w14:textId="1553AE98" w:rsidR="00F56389" w:rsidRPr="00A96DBD" w:rsidRDefault="006D1458">
      <w:pPr>
        <w:rPr>
          <w:rFonts w:asciiTheme="majorHAnsi" w:hAnsiTheme="majorHAnsi" w:cstheme="majorHAnsi"/>
          <w:sz w:val="32"/>
        </w:rPr>
      </w:pPr>
      <w:r w:rsidRPr="00A96DBD">
        <w:rPr>
          <w:rFonts w:asciiTheme="majorHAnsi" w:hAnsiTheme="majorHAnsi" w:cstheme="majorHAnsi"/>
          <w:sz w:val="32"/>
        </w:rPr>
        <w:t xml:space="preserve">Transcript for </w:t>
      </w:r>
      <w:r w:rsidR="001238DC">
        <w:rPr>
          <w:rFonts w:asciiTheme="majorHAnsi" w:hAnsiTheme="majorHAnsi" w:cstheme="majorHAnsi"/>
          <w:sz w:val="32"/>
        </w:rPr>
        <w:t>‘</w:t>
      </w:r>
      <w:r w:rsidR="00E713EF">
        <w:rPr>
          <w:rFonts w:asciiTheme="majorHAnsi" w:hAnsiTheme="majorHAnsi" w:cstheme="majorHAnsi"/>
          <w:sz w:val="32"/>
        </w:rPr>
        <w:t>A</w:t>
      </w:r>
      <w:r w:rsidR="001238DC">
        <w:rPr>
          <w:rFonts w:asciiTheme="majorHAnsi" w:hAnsiTheme="majorHAnsi" w:cstheme="majorHAnsi"/>
          <w:sz w:val="32"/>
        </w:rPr>
        <w:t>nalysis of participants</w:t>
      </w:r>
      <w:r w:rsidR="00E713EF">
        <w:rPr>
          <w:rFonts w:asciiTheme="majorHAnsi" w:hAnsiTheme="majorHAnsi" w:cstheme="majorHAnsi"/>
          <w:sz w:val="32"/>
        </w:rPr>
        <w:t xml:space="preserve"> by gender</w:t>
      </w:r>
      <w:r w:rsidR="001238DC">
        <w:rPr>
          <w:rFonts w:asciiTheme="majorHAnsi" w:hAnsiTheme="majorHAnsi" w:cstheme="majorHAnsi"/>
          <w:sz w:val="32"/>
        </w:rPr>
        <w:t>’</w:t>
      </w:r>
    </w:p>
    <w:p w14:paraId="5AB7F648" w14:textId="11E9FB40" w:rsidR="001238DC" w:rsidRDefault="00037ADD">
      <w:pPr>
        <w:rPr>
          <w:rFonts w:cstheme="minorHAnsi"/>
        </w:rPr>
      </w:pPr>
      <w:r w:rsidRPr="00A96DBD">
        <w:rPr>
          <w:rFonts w:cstheme="minorHAnsi"/>
        </w:rPr>
        <w:t>This presentation provides a</w:t>
      </w:r>
      <w:r w:rsidR="00E713EF">
        <w:rPr>
          <w:rFonts w:cstheme="minorHAnsi"/>
        </w:rPr>
        <w:t>n</w:t>
      </w:r>
      <w:r w:rsidRPr="00A96DBD">
        <w:rPr>
          <w:rFonts w:cstheme="minorHAnsi"/>
        </w:rPr>
        <w:t xml:space="preserve"> analysis of NDIS participants</w:t>
      </w:r>
      <w:r w:rsidR="005A7B3B" w:rsidRPr="00A96DBD">
        <w:rPr>
          <w:rFonts w:cstheme="minorHAnsi"/>
        </w:rPr>
        <w:t xml:space="preserve"> </w:t>
      </w:r>
      <w:r w:rsidR="00E713EF">
        <w:rPr>
          <w:rFonts w:cstheme="minorHAnsi"/>
        </w:rPr>
        <w:t xml:space="preserve">by gender </w:t>
      </w:r>
      <w:r w:rsidR="005A7B3B" w:rsidRPr="00A96DBD">
        <w:rPr>
          <w:rFonts w:cstheme="minorHAnsi"/>
        </w:rPr>
        <w:t xml:space="preserve">as at 31 December 2019. </w:t>
      </w:r>
    </w:p>
    <w:p w14:paraId="0AEF5AF7" w14:textId="282498E9" w:rsidR="001238DC" w:rsidRDefault="001238DC">
      <w:pPr>
        <w:rPr>
          <w:rFonts w:cstheme="minorHAnsi"/>
        </w:rPr>
      </w:pPr>
      <w:r w:rsidRPr="00A96DBD">
        <w:rPr>
          <w:rFonts w:asciiTheme="majorHAnsi" w:hAnsiTheme="majorHAnsi" w:cstheme="majorHAnsi"/>
          <w:sz w:val="24"/>
        </w:rPr>
        <w:t xml:space="preserve">Page </w:t>
      </w:r>
      <w:r>
        <w:rPr>
          <w:rFonts w:asciiTheme="majorHAnsi" w:hAnsiTheme="majorHAnsi" w:cstheme="majorHAnsi"/>
          <w:sz w:val="24"/>
        </w:rPr>
        <w:t>2</w:t>
      </w:r>
      <w:r w:rsidRPr="00A96DBD">
        <w:rPr>
          <w:rFonts w:asciiTheme="majorHAnsi" w:hAnsiTheme="majorHAnsi" w:cstheme="majorHAnsi"/>
          <w:sz w:val="24"/>
        </w:rPr>
        <w:t xml:space="preserve"> – </w:t>
      </w:r>
      <w:r>
        <w:rPr>
          <w:rFonts w:asciiTheme="majorHAnsi" w:hAnsiTheme="majorHAnsi" w:cstheme="majorHAnsi"/>
          <w:sz w:val="24"/>
        </w:rPr>
        <w:t>Outline</w:t>
      </w:r>
    </w:p>
    <w:p w14:paraId="22C07D79" w14:textId="5E7007FD" w:rsidR="000F0A01" w:rsidRPr="00A96DBD" w:rsidRDefault="002C5995">
      <w:pPr>
        <w:rPr>
          <w:rFonts w:cstheme="minorHAnsi"/>
        </w:rPr>
      </w:pPr>
      <w:r w:rsidRPr="00A96DBD">
        <w:rPr>
          <w:rFonts w:cstheme="minorHAnsi"/>
        </w:rPr>
        <w:t>The structure of the presentation is as follows:</w:t>
      </w:r>
    </w:p>
    <w:p w14:paraId="4D9A4121" w14:textId="77777777" w:rsidR="002956A6" w:rsidRPr="00A96DBD" w:rsidRDefault="00190638" w:rsidP="00C801A2">
      <w:pPr>
        <w:pStyle w:val="ListParagraph"/>
        <w:numPr>
          <w:ilvl w:val="0"/>
          <w:numId w:val="7"/>
        </w:numPr>
        <w:rPr>
          <w:rFonts w:cstheme="minorHAnsi"/>
        </w:rPr>
      </w:pPr>
      <w:r w:rsidRPr="00C801A2">
        <w:rPr>
          <w:rFonts w:cstheme="minorHAnsi"/>
        </w:rPr>
        <w:t>Introduction</w:t>
      </w:r>
    </w:p>
    <w:p w14:paraId="31C17557" w14:textId="77777777" w:rsidR="002956A6" w:rsidRPr="00A96DBD" w:rsidRDefault="00190638" w:rsidP="00C801A2">
      <w:pPr>
        <w:pStyle w:val="ListParagraph"/>
        <w:numPr>
          <w:ilvl w:val="0"/>
          <w:numId w:val="7"/>
        </w:numPr>
        <w:rPr>
          <w:rFonts w:cstheme="minorHAnsi"/>
        </w:rPr>
      </w:pPr>
      <w:r w:rsidRPr="00C801A2">
        <w:rPr>
          <w:rFonts w:cstheme="minorHAnsi"/>
        </w:rPr>
        <w:t>Key findings</w:t>
      </w:r>
    </w:p>
    <w:p w14:paraId="65BF6917" w14:textId="77777777" w:rsidR="002956A6" w:rsidRPr="00A96DBD" w:rsidRDefault="00190638" w:rsidP="00C801A2">
      <w:pPr>
        <w:pStyle w:val="ListParagraph"/>
        <w:numPr>
          <w:ilvl w:val="0"/>
          <w:numId w:val="7"/>
        </w:numPr>
        <w:rPr>
          <w:rFonts w:cstheme="minorHAnsi"/>
        </w:rPr>
      </w:pPr>
      <w:r w:rsidRPr="00C801A2">
        <w:rPr>
          <w:rFonts w:cstheme="minorHAnsi"/>
        </w:rPr>
        <w:t>NDIS participants by disability and gender</w:t>
      </w:r>
    </w:p>
    <w:p w14:paraId="7B2F7310" w14:textId="3F838821" w:rsidR="002956A6" w:rsidRPr="00A96DBD" w:rsidRDefault="00190638" w:rsidP="00C801A2">
      <w:pPr>
        <w:pStyle w:val="ListParagraph"/>
        <w:numPr>
          <w:ilvl w:val="0"/>
          <w:numId w:val="7"/>
        </w:numPr>
        <w:rPr>
          <w:rFonts w:cstheme="minorHAnsi"/>
        </w:rPr>
      </w:pPr>
      <w:r w:rsidRPr="00A96DBD">
        <w:rPr>
          <w:rFonts w:cstheme="minorHAnsi"/>
        </w:rPr>
        <w:t>Male to female ratios for disability types</w:t>
      </w:r>
    </w:p>
    <w:p w14:paraId="665E399A" w14:textId="77777777" w:rsidR="002956A6" w:rsidRPr="00A96DBD" w:rsidRDefault="00190638" w:rsidP="00C801A2">
      <w:pPr>
        <w:pStyle w:val="ListParagraph"/>
        <w:numPr>
          <w:ilvl w:val="0"/>
          <w:numId w:val="7"/>
        </w:numPr>
        <w:rPr>
          <w:rFonts w:cstheme="minorHAnsi"/>
        </w:rPr>
      </w:pPr>
      <w:r w:rsidRPr="00A96DBD">
        <w:rPr>
          <w:rFonts w:cstheme="minorHAnsi"/>
        </w:rPr>
        <w:t>Male to female ratios by age</w:t>
      </w:r>
    </w:p>
    <w:p w14:paraId="47D4AE79" w14:textId="2D4EA3C0" w:rsidR="002956A6" w:rsidRPr="00A96DBD" w:rsidRDefault="00190638" w:rsidP="00C801A2">
      <w:pPr>
        <w:pStyle w:val="ListParagraph"/>
        <w:numPr>
          <w:ilvl w:val="0"/>
          <w:numId w:val="7"/>
        </w:numPr>
        <w:rPr>
          <w:rFonts w:cstheme="minorHAnsi"/>
        </w:rPr>
      </w:pPr>
      <w:r w:rsidRPr="00A96DBD">
        <w:rPr>
          <w:rFonts w:cstheme="minorHAnsi"/>
        </w:rPr>
        <w:t>Male to female ratios standardised for NDIS age mix</w:t>
      </w:r>
    </w:p>
    <w:p w14:paraId="4BD648A2" w14:textId="684580CC" w:rsidR="002956A6" w:rsidRDefault="002C5995" w:rsidP="00C801A2">
      <w:pPr>
        <w:pStyle w:val="ListParagraph"/>
        <w:numPr>
          <w:ilvl w:val="0"/>
          <w:numId w:val="7"/>
        </w:numPr>
        <w:rPr>
          <w:rFonts w:cstheme="minorHAnsi"/>
        </w:rPr>
      </w:pPr>
      <w:r w:rsidRPr="00A96DBD">
        <w:rPr>
          <w:rFonts w:cstheme="minorHAnsi"/>
        </w:rPr>
        <w:t>Appendix presenting</w:t>
      </w:r>
      <w:r w:rsidR="00190638" w:rsidRPr="00A96DBD">
        <w:rPr>
          <w:rFonts w:cstheme="minorHAnsi"/>
        </w:rPr>
        <w:t xml:space="preserve"> detailed results</w:t>
      </w:r>
      <w:r w:rsidR="00C801A2">
        <w:rPr>
          <w:rFonts w:cstheme="minorHAnsi"/>
        </w:rPr>
        <w:t>.</w:t>
      </w:r>
    </w:p>
    <w:p w14:paraId="4D6B0EF0" w14:textId="77777777" w:rsidR="00C801A2" w:rsidRPr="00A96DBD" w:rsidRDefault="00C801A2" w:rsidP="00C801A2">
      <w:pPr>
        <w:pStyle w:val="ListParagraph"/>
        <w:rPr>
          <w:rFonts w:cstheme="minorHAnsi"/>
        </w:rPr>
      </w:pPr>
    </w:p>
    <w:p w14:paraId="275EA3DC" w14:textId="3BDCB9E3" w:rsidR="004D4253" w:rsidRPr="00A96DBD" w:rsidRDefault="004D4253">
      <w:pPr>
        <w:rPr>
          <w:rFonts w:asciiTheme="majorHAnsi" w:hAnsiTheme="majorHAnsi" w:cstheme="majorHAnsi"/>
          <w:sz w:val="24"/>
        </w:rPr>
      </w:pPr>
      <w:r w:rsidRPr="00A96DBD">
        <w:rPr>
          <w:rFonts w:asciiTheme="majorHAnsi" w:hAnsiTheme="majorHAnsi" w:cstheme="majorHAnsi"/>
          <w:sz w:val="24"/>
        </w:rPr>
        <w:t>Page 3 – Introduction</w:t>
      </w:r>
    </w:p>
    <w:p w14:paraId="09E2050E" w14:textId="3EFFE043" w:rsidR="002956A6" w:rsidRPr="00A96DBD" w:rsidRDefault="00190638" w:rsidP="00C76EF7">
      <w:pPr>
        <w:rPr>
          <w:rFonts w:cstheme="minorHAnsi"/>
        </w:rPr>
      </w:pPr>
      <w:r w:rsidRPr="00A96DBD">
        <w:rPr>
          <w:rFonts w:cstheme="minorHAnsi"/>
        </w:rPr>
        <w:t xml:space="preserve">As at 31 December 2019, 62% of NDIS participants </w:t>
      </w:r>
      <w:r w:rsidR="00C76EF7" w:rsidRPr="00A96DBD">
        <w:rPr>
          <w:rFonts w:cstheme="minorHAnsi"/>
        </w:rPr>
        <w:t xml:space="preserve">were male and 37% were female. </w:t>
      </w:r>
      <w:r w:rsidRPr="00A96DBD">
        <w:rPr>
          <w:rFonts w:cstheme="minorHAnsi"/>
        </w:rPr>
        <w:t>1% of participants had an indeterminate gender or</w:t>
      </w:r>
      <w:r w:rsidR="00C76EF7" w:rsidRPr="00A96DBD">
        <w:rPr>
          <w:rFonts w:cstheme="minorHAnsi"/>
        </w:rPr>
        <w:t xml:space="preserve"> their gender was not recorded.</w:t>
      </w:r>
    </w:p>
    <w:p w14:paraId="0B1AEF6A" w14:textId="4F8A9815" w:rsidR="002956A6" w:rsidRPr="00A96DBD" w:rsidRDefault="00190638" w:rsidP="00C76EF7">
      <w:pPr>
        <w:rPr>
          <w:rFonts w:cstheme="minorHAnsi"/>
        </w:rPr>
      </w:pPr>
      <w:r w:rsidRPr="00A96DBD">
        <w:rPr>
          <w:rFonts w:cstheme="minorHAnsi"/>
        </w:rPr>
        <w:t>The purpose of this report is to examine this</w:t>
      </w:r>
      <w:r w:rsidR="00C76EF7" w:rsidRPr="00A96DBD">
        <w:rPr>
          <w:rFonts w:cstheme="minorHAnsi"/>
        </w:rPr>
        <w:t xml:space="preserve"> gender</w:t>
      </w:r>
      <w:r w:rsidRPr="00A96DBD">
        <w:rPr>
          <w:rFonts w:cstheme="minorHAnsi"/>
        </w:rPr>
        <w:t xml:space="preserve"> disparity and better understand the underlying drivers of gender mix across Scheme participants</w:t>
      </w:r>
      <w:r w:rsidR="00C76EF7" w:rsidRPr="00A96DBD">
        <w:rPr>
          <w:rFonts w:cstheme="minorHAnsi"/>
        </w:rPr>
        <w:t>,</w:t>
      </w:r>
      <w:r w:rsidRPr="00A96DBD">
        <w:rPr>
          <w:rFonts w:cstheme="minorHAnsi"/>
        </w:rPr>
        <w:t xml:space="preserve"> compared with other populations. </w:t>
      </w:r>
    </w:p>
    <w:p w14:paraId="12F9324D" w14:textId="3BD13745" w:rsidR="0032169E" w:rsidRPr="00A96DBD" w:rsidRDefault="0032169E" w:rsidP="00C76EF7">
      <w:pPr>
        <w:rPr>
          <w:rFonts w:cstheme="minorHAnsi"/>
        </w:rPr>
      </w:pPr>
      <w:r w:rsidRPr="00A96DBD">
        <w:rPr>
          <w:rFonts w:cstheme="minorHAnsi"/>
        </w:rPr>
        <w:t xml:space="preserve">Comparisons have been made between the NDIS participants and </w:t>
      </w:r>
      <w:r w:rsidR="00720D3D" w:rsidRPr="00A96DBD">
        <w:rPr>
          <w:rFonts w:cstheme="minorHAnsi"/>
        </w:rPr>
        <w:t>2 groups</w:t>
      </w:r>
      <w:r w:rsidRPr="00A96DBD">
        <w:rPr>
          <w:rFonts w:cstheme="minorHAnsi"/>
        </w:rPr>
        <w:t>:</w:t>
      </w:r>
    </w:p>
    <w:p w14:paraId="5AEAF5A1" w14:textId="76F2FDA5" w:rsidR="0032169E" w:rsidRPr="00A96DBD" w:rsidRDefault="00720D3D" w:rsidP="00337DCD">
      <w:pPr>
        <w:pStyle w:val="ListParagraph"/>
        <w:numPr>
          <w:ilvl w:val="0"/>
          <w:numId w:val="14"/>
        </w:numPr>
        <w:rPr>
          <w:rFonts w:cstheme="minorHAnsi"/>
        </w:rPr>
      </w:pPr>
      <w:r w:rsidRPr="00A96DBD">
        <w:rPr>
          <w:rFonts w:cstheme="minorHAnsi"/>
        </w:rPr>
        <w:t>The first group used for comparison is the “</w:t>
      </w:r>
      <w:r w:rsidR="00117C2B" w:rsidRPr="00A96DBD">
        <w:rPr>
          <w:rFonts w:cstheme="minorHAnsi"/>
        </w:rPr>
        <w:t>Tier 3 disa</w:t>
      </w:r>
      <w:r w:rsidRPr="00A96DBD">
        <w:rPr>
          <w:rFonts w:cstheme="minorHAnsi"/>
        </w:rPr>
        <w:t>bility population” from the 2015 Survey of Disability and Aged C</w:t>
      </w:r>
      <w:r w:rsidR="00447212" w:rsidRPr="00A96DBD">
        <w:rPr>
          <w:rFonts w:cstheme="minorHAnsi"/>
        </w:rPr>
        <w:t xml:space="preserve">are, also known as </w:t>
      </w:r>
      <w:r w:rsidRPr="00A96DBD">
        <w:rPr>
          <w:rFonts w:cstheme="minorHAnsi"/>
        </w:rPr>
        <w:t>SDA</w:t>
      </w:r>
      <w:r w:rsidR="00447212" w:rsidRPr="00A96DBD">
        <w:rPr>
          <w:rFonts w:cstheme="minorHAnsi"/>
        </w:rPr>
        <w:t>C</w:t>
      </w:r>
      <w:r w:rsidR="00117C2B" w:rsidRPr="00A96DBD">
        <w:rPr>
          <w:rFonts w:cstheme="minorHAnsi"/>
        </w:rPr>
        <w:t>. These</w:t>
      </w:r>
      <w:r w:rsidRPr="00A96DBD">
        <w:rPr>
          <w:rFonts w:cstheme="minorHAnsi"/>
        </w:rPr>
        <w:t xml:space="preserve"> are people with significant and enduring support needs who would be eligible for individualised support.</w:t>
      </w:r>
      <w:r w:rsidR="00CF2F29" w:rsidRPr="00A96DBD">
        <w:rPr>
          <w:rFonts w:cstheme="minorHAnsi"/>
        </w:rPr>
        <w:t xml:space="preserve"> This grouping within SDAC is most closely aligned to the eligibility criteria of the NDIS as defined in the original Productivity Commission costings for the NDIS.</w:t>
      </w:r>
      <w:r w:rsidR="003C131D">
        <w:rPr>
          <w:rFonts w:cstheme="minorHAnsi"/>
        </w:rPr>
        <w:t xml:space="preserve"> (See the report: Productivity Commission 2011. ‘Disability Care and Support’.)</w:t>
      </w:r>
      <w:r w:rsidR="00CF2F29" w:rsidRPr="00A96DBD">
        <w:rPr>
          <w:rFonts w:cstheme="minorHAnsi"/>
        </w:rPr>
        <w:t xml:space="preserve"> Comparisons with other SDAC groupings are also included in the detailed results.</w:t>
      </w:r>
    </w:p>
    <w:p w14:paraId="62005BA5" w14:textId="77777777" w:rsidR="00725DDE" w:rsidRPr="00A96DBD" w:rsidRDefault="00725DDE" w:rsidP="00725DDE">
      <w:pPr>
        <w:pStyle w:val="ListParagraph"/>
        <w:rPr>
          <w:rFonts w:cstheme="minorHAnsi"/>
        </w:rPr>
      </w:pPr>
    </w:p>
    <w:p w14:paraId="1F1F0EED" w14:textId="4B60EF9D" w:rsidR="002956A6" w:rsidRPr="00A96DBD" w:rsidRDefault="00725DDE" w:rsidP="00725DDE">
      <w:pPr>
        <w:pStyle w:val="ListParagraph"/>
        <w:numPr>
          <w:ilvl w:val="0"/>
          <w:numId w:val="4"/>
        </w:numPr>
        <w:rPr>
          <w:rFonts w:cstheme="minorHAnsi"/>
        </w:rPr>
      </w:pPr>
      <w:r w:rsidRPr="00A96DBD">
        <w:rPr>
          <w:rFonts w:cstheme="minorHAnsi"/>
        </w:rPr>
        <w:t xml:space="preserve">The second group used is the </w:t>
      </w:r>
      <w:r w:rsidR="00190638" w:rsidRPr="00A96DBD">
        <w:rPr>
          <w:rFonts w:cstheme="minorHAnsi"/>
        </w:rPr>
        <w:t xml:space="preserve">General population, </w:t>
      </w:r>
      <w:r w:rsidRPr="00A96DBD">
        <w:rPr>
          <w:rFonts w:cstheme="minorHAnsi"/>
        </w:rPr>
        <w:t xml:space="preserve">which is </w:t>
      </w:r>
      <w:r w:rsidR="00190638" w:rsidRPr="00A96DBD">
        <w:rPr>
          <w:rFonts w:cstheme="minorHAnsi"/>
        </w:rPr>
        <w:t>based on an estimated resident population for 2017, derived from 2016 census data.</w:t>
      </w:r>
    </w:p>
    <w:p w14:paraId="32CED16B" w14:textId="378F400A" w:rsidR="002956A6" w:rsidRPr="00A96DBD" w:rsidRDefault="00CA2A5E" w:rsidP="00184A50">
      <w:pPr>
        <w:rPr>
          <w:rFonts w:cstheme="minorHAnsi"/>
        </w:rPr>
      </w:pPr>
      <w:r w:rsidRPr="00A96DBD">
        <w:rPr>
          <w:rFonts w:cstheme="minorHAnsi"/>
        </w:rPr>
        <w:t>In this report, the ratio of males to females across disability and age groups were analysed, including the use of age standardisation across populations</w:t>
      </w:r>
      <w:r w:rsidR="00222F75" w:rsidRPr="00A96DBD">
        <w:rPr>
          <w:rFonts w:cstheme="minorHAnsi"/>
        </w:rPr>
        <w:t xml:space="preserve">. </w:t>
      </w:r>
      <w:r w:rsidR="00190638" w:rsidRPr="00A96DBD">
        <w:rPr>
          <w:rFonts w:cstheme="minorHAnsi"/>
        </w:rPr>
        <w:t>This is to better understand the extent to which age and disability impact the gender ratio in the NDIS.</w:t>
      </w:r>
    </w:p>
    <w:p w14:paraId="5E858367" w14:textId="77777777" w:rsidR="00C801A2" w:rsidRDefault="00C801A2" w:rsidP="00C76EF7">
      <w:pPr>
        <w:rPr>
          <w:rFonts w:asciiTheme="majorHAnsi" w:hAnsiTheme="majorHAnsi" w:cstheme="majorHAnsi"/>
          <w:sz w:val="24"/>
          <w:szCs w:val="24"/>
        </w:rPr>
      </w:pPr>
    </w:p>
    <w:p w14:paraId="794B332B" w14:textId="3354FD48" w:rsidR="00C76EF7" w:rsidRPr="00323055" w:rsidRDefault="006478BD" w:rsidP="00C76EF7">
      <w:pPr>
        <w:rPr>
          <w:rFonts w:cstheme="minorHAnsi"/>
          <w:sz w:val="24"/>
          <w:szCs w:val="24"/>
        </w:rPr>
      </w:pPr>
      <w:r w:rsidRPr="00323055">
        <w:rPr>
          <w:rFonts w:asciiTheme="majorHAnsi" w:hAnsiTheme="majorHAnsi" w:cstheme="majorHAnsi"/>
          <w:sz w:val="24"/>
          <w:szCs w:val="24"/>
        </w:rPr>
        <w:t>Pages 4 and 5</w:t>
      </w:r>
      <w:r w:rsidRPr="00323055">
        <w:rPr>
          <w:rFonts w:cstheme="minorHAnsi"/>
          <w:sz w:val="24"/>
          <w:szCs w:val="24"/>
        </w:rPr>
        <w:t xml:space="preserve"> </w:t>
      </w:r>
      <w:r w:rsidR="00323055" w:rsidRPr="00323055">
        <w:rPr>
          <w:rFonts w:asciiTheme="majorHAnsi" w:hAnsiTheme="majorHAnsi" w:cstheme="minorHAnsi"/>
          <w:sz w:val="24"/>
          <w:szCs w:val="24"/>
        </w:rPr>
        <w:t>– Key Findings</w:t>
      </w:r>
      <w:r w:rsidR="00323055" w:rsidRPr="00323055">
        <w:rPr>
          <w:rFonts w:cstheme="minorHAnsi"/>
          <w:sz w:val="24"/>
          <w:szCs w:val="24"/>
        </w:rPr>
        <w:t xml:space="preserve"> </w:t>
      </w:r>
    </w:p>
    <w:p w14:paraId="1BC0A733" w14:textId="28EBCBDD" w:rsidR="003305A3" w:rsidRPr="00A96DBD" w:rsidRDefault="007033CC" w:rsidP="00C76EF7">
      <w:pPr>
        <w:rPr>
          <w:rFonts w:cstheme="minorHAnsi"/>
        </w:rPr>
      </w:pPr>
      <w:r w:rsidRPr="00A96DBD">
        <w:rPr>
          <w:rFonts w:cstheme="minorHAnsi"/>
        </w:rPr>
        <w:t>The following</w:t>
      </w:r>
      <w:r w:rsidR="003305A3" w:rsidRPr="00A96DBD">
        <w:rPr>
          <w:rFonts w:cstheme="minorHAnsi"/>
        </w:rPr>
        <w:t xml:space="preserve"> two pages outline the key findings of the report. </w:t>
      </w:r>
      <w:r w:rsidR="002C3461" w:rsidRPr="00A96DBD">
        <w:rPr>
          <w:rFonts w:cstheme="minorHAnsi"/>
        </w:rPr>
        <w:t>The following observations have been noted:</w:t>
      </w:r>
    </w:p>
    <w:p w14:paraId="3D5B1C4E" w14:textId="21EF4284" w:rsidR="007A50E6" w:rsidRPr="00A96DBD" w:rsidRDefault="00190638" w:rsidP="00337DCD">
      <w:pPr>
        <w:pStyle w:val="ListParagraph"/>
        <w:numPr>
          <w:ilvl w:val="0"/>
          <w:numId w:val="13"/>
        </w:numPr>
        <w:rPr>
          <w:rFonts w:cstheme="minorHAnsi"/>
        </w:rPr>
      </w:pPr>
      <w:r w:rsidRPr="00A96DBD">
        <w:rPr>
          <w:rFonts w:cstheme="minorHAnsi"/>
        </w:rPr>
        <w:t xml:space="preserve">As </w:t>
      </w:r>
      <w:r w:rsidR="001238DC">
        <w:rPr>
          <w:rFonts w:cstheme="minorHAnsi"/>
        </w:rPr>
        <w:t xml:space="preserve">mentioned previously, </w:t>
      </w:r>
      <w:r w:rsidRPr="00A96DBD">
        <w:rPr>
          <w:rFonts w:cstheme="minorHAnsi"/>
        </w:rPr>
        <w:t xml:space="preserve">at 31 December 2019, 62% of NDIS participants </w:t>
      </w:r>
      <w:r w:rsidR="002C3461" w:rsidRPr="00A96DBD">
        <w:rPr>
          <w:rFonts w:cstheme="minorHAnsi"/>
        </w:rPr>
        <w:t xml:space="preserve">were male and 37% were female. </w:t>
      </w:r>
      <w:r w:rsidRPr="00A96DBD">
        <w:rPr>
          <w:rFonts w:cstheme="minorHAnsi"/>
        </w:rPr>
        <w:t xml:space="preserve">1% of participants had an indeterminate gender or </w:t>
      </w:r>
      <w:r w:rsidR="002C3461" w:rsidRPr="00A96DBD">
        <w:rPr>
          <w:rFonts w:cstheme="minorHAnsi"/>
        </w:rPr>
        <w:t xml:space="preserve">their gender was not recorded. </w:t>
      </w:r>
      <w:r w:rsidRPr="00A96DBD">
        <w:rPr>
          <w:rFonts w:cstheme="minorHAnsi"/>
        </w:rPr>
        <w:t>For the target age group of 0-64 years, this is a male to female ratio of 1.70.</w:t>
      </w:r>
    </w:p>
    <w:p w14:paraId="328FB749" w14:textId="1935A554" w:rsidR="002C3461" w:rsidRPr="00A96DBD" w:rsidRDefault="0003546D" w:rsidP="002C3461">
      <w:pPr>
        <w:pStyle w:val="ListParagraph"/>
        <w:numPr>
          <w:ilvl w:val="0"/>
          <w:numId w:val="7"/>
        </w:numPr>
        <w:rPr>
          <w:rFonts w:cstheme="minorHAnsi"/>
        </w:rPr>
      </w:pPr>
      <w:r w:rsidRPr="00A96DBD">
        <w:rPr>
          <w:rFonts w:cstheme="minorHAnsi"/>
        </w:rPr>
        <w:lastRenderedPageBreak/>
        <w:t>Autism is the most common primary disability type of NDIS participants. There are 3.2 times the number of male participants with autism compared with females</w:t>
      </w:r>
      <w:r w:rsidR="00CF2F29" w:rsidRPr="00A96DBD">
        <w:rPr>
          <w:rFonts w:cstheme="minorHAnsi"/>
        </w:rPr>
        <w:t>.</w:t>
      </w:r>
    </w:p>
    <w:p w14:paraId="416AE12C" w14:textId="5754246F" w:rsidR="005A7486" w:rsidRPr="00203EE1" w:rsidRDefault="00190638" w:rsidP="00203EE1">
      <w:pPr>
        <w:pStyle w:val="ListParagraph"/>
        <w:numPr>
          <w:ilvl w:val="0"/>
          <w:numId w:val="7"/>
        </w:numPr>
        <w:rPr>
          <w:rFonts w:cstheme="minorHAnsi"/>
        </w:rPr>
      </w:pPr>
      <w:r w:rsidRPr="00A96DBD">
        <w:rPr>
          <w:rFonts w:cstheme="minorHAnsi"/>
        </w:rPr>
        <w:t>Intellectual disability and developmental delay</w:t>
      </w:r>
      <w:r w:rsidR="003C131D">
        <w:rPr>
          <w:rFonts w:cstheme="minorHAnsi"/>
        </w:rPr>
        <w:t xml:space="preserve"> i</w:t>
      </w:r>
      <w:r w:rsidRPr="00A96DBD">
        <w:rPr>
          <w:rFonts w:cstheme="minorHAnsi"/>
        </w:rPr>
        <w:t>s also more prevalent in males than females.</w:t>
      </w:r>
    </w:p>
    <w:p w14:paraId="40B3D6A4" w14:textId="6D163474" w:rsidR="005A7486" w:rsidRPr="00203EE1" w:rsidRDefault="00190638" w:rsidP="00203EE1">
      <w:pPr>
        <w:pStyle w:val="ListParagraph"/>
        <w:numPr>
          <w:ilvl w:val="0"/>
          <w:numId w:val="7"/>
        </w:numPr>
        <w:rPr>
          <w:rFonts w:cstheme="minorHAnsi"/>
        </w:rPr>
      </w:pPr>
      <w:r w:rsidRPr="00A96DBD">
        <w:rPr>
          <w:rFonts w:cstheme="minorHAnsi"/>
        </w:rPr>
        <w:t>Autism, intellectual disability and developmental delay</w:t>
      </w:r>
      <w:r w:rsidR="003C131D">
        <w:rPr>
          <w:rFonts w:cstheme="minorHAnsi"/>
        </w:rPr>
        <w:t xml:space="preserve"> are </w:t>
      </w:r>
      <w:r w:rsidRPr="00A96DBD">
        <w:rPr>
          <w:rFonts w:cstheme="minorHAnsi"/>
        </w:rPr>
        <w:t>the most comm</w:t>
      </w:r>
      <w:r w:rsidR="00B002CC" w:rsidRPr="00A96DBD">
        <w:rPr>
          <w:rFonts w:cstheme="minorHAnsi"/>
        </w:rPr>
        <w:t>on disability types in children. A</w:t>
      </w:r>
      <w:r w:rsidRPr="00A96DBD">
        <w:rPr>
          <w:rFonts w:cstheme="minorHAnsi"/>
        </w:rPr>
        <w:t xml:space="preserve">s a result, the ratio of males to females in the NDIS is highest at young ages. This is also the case in other disability populations such as the </w:t>
      </w:r>
      <w:r w:rsidR="001238DC">
        <w:rPr>
          <w:rFonts w:cstheme="minorHAnsi"/>
        </w:rPr>
        <w:t>‘</w:t>
      </w:r>
      <w:r w:rsidRPr="00A96DBD">
        <w:rPr>
          <w:rFonts w:cstheme="minorHAnsi"/>
        </w:rPr>
        <w:t xml:space="preserve">Tier 3 </w:t>
      </w:r>
      <w:r w:rsidR="001238DC">
        <w:rPr>
          <w:rFonts w:cstheme="minorHAnsi"/>
        </w:rPr>
        <w:t xml:space="preserve">disability </w:t>
      </w:r>
      <w:r w:rsidRPr="00A96DBD">
        <w:rPr>
          <w:rFonts w:cstheme="minorHAnsi"/>
        </w:rPr>
        <w:t>population</w:t>
      </w:r>
      <w:r w:rsidR="001238DC">
        <w:rPr>
          <w:rFonts w:cstheme="minorHAnsi"/>
        </w:rPr>
        <w:t>’ from the Survey of Disability and Aged Care (SDAC)</w:t>
      </w:r>
      <w:r w:rsidRPr="00A96DBD">
        <w:rPr>
          <w:rFonts w:cstheme="minorHAnsi"/>
        </w:rPr>
        <w:t>.</w:t>
      </w:r>
    </w:p>
    <w:p w14:paraId="7A4EDCF4" w14:textId="2CC65F05" w:rsidR="00203EE1" w:rsidRPr="00203EE1" w:rsidRDefault="00CF2F29" w:rsidP="00203EE1">
      <w:pPr>
        <w:pStyle w:val="ListParagraph"/>
        <w:numPr>
          <w:ilvl w:val="0"/>
          <w:numId w:val="7"/>
        </w:numPr>
        <w:rPr>
          <w:rFonts w:cstheme="minorHAnsi"/>
        </w:rPr>
      </w:pPr>
      <w:r w:rsidRPr="00A96DBD">
        <w:rPr>
          <w:rFonts w:cstheme="minorHAnsi"/>
        </w:rPr>
        <w:t>O</w:t>
      </w:r>
      <w:r w:rsidR="00EA0C76" w:rsidRPr="00A96DBD">
        <w:rPr>
          <w:rFonts w:cstheme="minorHAnsi"/>
        </w:rPr>
        <w:t>verall gender ratios are impacted by the age and disability mix in the NDIS population and introduce bias when compared to other populations</w:t>
      </w:r>
      <w:r w:rsidR="00C91E28" w:rsidRPr="00A96DBD">
        <w:rPr>
          <w:rFonts w:cstheme="minorHAnsi"/>
        </w:rPr>
        <w:t xml:space="preserve">. </w:t>
      </w:r>
    </w:p>
    <w:p w14:paraId="5E5F7F5E" w14:textId="139E2573" w:rsidR="00323055" w:rsidRPr="00203EE1" w:rsidRDefault="00190638" w:rsidP="00203EE1">
      <w:pPr>
        <w:pStyle w:val="ListParagraph"/>
        <w:numPr>
          <w:ilvl w:val="0"/>
          <w:numId w:val="7"/>
        </w:numPr>
        <w:rPr>
          <w:rFonts w:cstheme="minorHAnsi"/>
        </w:rPr>
      </w:pPr>
      <w:r w:rsidRPr="00A96DBD">
        <w:rPr>
          <w:rFonts w:cstheme="minorHAnsi"/>
        </w:rPr>
        <w:t>Age standardisation has been applied to the SDAC Tier 3 population to provide a more direct comparison with the NDIS. The results are used to gauge the extent to which the high proportion of males in the NDIS is explained by age.</w:t>
      </w:r>
    </w:p>
    <w:p w14:paraId="1F04A48C" w14:textId="195203FE" w:rsidR="002956A6" w:rsidRPr="00203EE1" w:rsidRDefault="00190638" w:rsidP="00203EE1">
      <w:pPr>
        <w:pStyle w:val="ListParagraph"/>
        <w:numPr>
          <w:ilvl w:val="0"/>
          <w:numId w:val="7"/>
        </w:numPr>
        <w:rPr>
          <w:rFonts w:cstheme="minorHAnsi"/>
        </w:rPr>
      </w:pPr>
      <w:r w:rsidRPr="00A96DBD">
        <w:rPr>
          <w:rFonts w:cstheme="minorHAnsi"/>
        </w:rPr>
        <w:t xml:space="preserve">After standardising to the NDIS age distribution, the ratio of males to females in </w:t>
      </w:r>
      <w:r w:rsidR="005A7486">
        <w:rPr>
          <w:rFonts w:cstheme="minorHAnsi"/>
        </w:rPr>
        <w:t>SDAC</w:t>
      </w:r>
      <w:r w:rsidRPr="00A96DBD">
        <w:rPr>
          <w:rFonts w:cstheme="minorHAnsi"/>
        </w:rPr>
        <w:t xml:space="preserve"> Tier 3 population </w:t>
      </w:r>
      <w:r w:rsidR="001238DC">
        <w:rPr>
          <w:rFonts w:cstheme="minorHAnsi"/>
        </w:rPr>
        <w:t>is</w:t>
      </w:r>
      <w:r w:rsidRPr="00A96DBD">
        <w:rPr>
          <w:rFonts w:cstheme="minorHAnsi"/>
        </w:rPr>
        <w:t xml:space="preserve"> 1.61 which i</w:t>
      </w:r>
      <w:bookmarkStart w:id="0" w:name="_GoBack"/>
      <w:bookmarkEnd w:id="0"/>
      <w:r w:rsidRPr="00A96DBD">
        <w:rPr>
          <w:rFonts w:cstheme="minorHAnsi"/>
        </w:rPr>
        <w:t>s close to the NDIS ratio of 1.70.</w:t>
      </w:r>
      <w:r w:rsidR="00203846" w:rsidRPr="00A96DBD">
        <w:rPr>
          <w:rFonts w:cstheme="minorHAnsi"/>
        </w:rPr>
        <w:t xml:space="preserve"> The male to female ratio for the </w:t>
      </w:r>
      <w:r w:rsidR="001238DC">
        <w:rPr>
          <w:rFonts w:cstheme="minorHAnsi"/>
        </w:rPr>
        <w:t xml:space="preserve">SDAC </w:t>
      </w:r>
      <w:r w:rsidR="00203846" w:rsidRPr="00A96DBD">
        <w:rPr>
          <w:rFonts w:cstheme="minorHAnsi"/>
        </w:rPr>
        <w:t>Tier 3 disability population</w:t>
      </w:r>
      <w:r w:rsidR="001238DC">
        <w:rPr>
          <w:rFonts w:cstheme="minorHAnsi"/>
        </w:rPr>
        <w:t>, before standardising to the NDIS age distribution,</w:t>
      </w:r>
      <w:r w:rsidR="00203846" w:rsidRPr="00A96DBD">
        <w:rPr>
          <w:rFonts w:cstheme="minorHAnsi"/>
        </w:rPr>
        <w:t xml:space="preserve"> is lower at 1.45.</w:t>
      </w:r>
      <w:r w:rsidR="00203846" w:rsidRPr="00A96DBD">
        <w:rPr>
          <w:rFonts w:cstheme="minorHAnsi"/>
          <w:vertAlign w:val="superscript"/>
        </w:rPr>
        <w:t xml:space="preserve"> </w:t>
      </w:r>
    </w:p>
    <w:p w14:paraId="49DED1D9" w14:textId="32530A59" w:rsidR="00C91E28" w:rsidRPr="00A96DBD" w:rsidRDefault="00236108" w:rsidP="002C3461">
      <w:pPr>
        <w:pStyle w:val="ListParagraph"/>
        <w:numPr>
          <w:ilvl w:val="0"/>
          <w:numId w:val="7"/>
        </w:numPr>
        <w:rPr>
          <w:rFonts w:cstheme="minorHAnsi"/>
        </w:rPr>
      </w:pPr>
      <w:r w:rsidRPr="00A96DBD">
        <w:rPr>
          <w:rFonts w:cstheme="minorHAnsi"/>
        </w:rPr>
        <w:t>The remaining discrepancy has not been investigated but it is noted that the eligibility criteria of the NDIS is not identical to the profile of the S</w:t>
      </w:r>
      <w:r w:rsidR="005A7486">
        <w:rPr>
          <w:rFonts w:cstheme="minorHAnsi"/>
        </w:rPr>
        <w:t>D</w:t>
      </w:r>
      <w:r w:rsidRPr="00A96DBD">
        <w:rPr>
          <w:rFonts w:cstheme="minorHAnsi"/>
        </w:rPr>
        <w:t>AC Tier 3 population</w:t>
      </w:r>
      <w:r w:rsidR="00E01721" w:rsidRPr="00A96DBD">
        <w:rPr>
          <w:rFonts w:cstheme="minorHAnsi"/>
        </w:rPr>
        <w:t>.</w:t>
      </w:r>
    </w:p>
    <w:p w14:paraId="72CB67EA" w14:textId="5206A42B" w:rsidR="002956A6" w:rsidRPr="00A96DBD" w:rsidRDefault="00190638" w:rsidP="00E01721">
      <w:pPr>
        <w:rPr>
          <w:rFonts w:cstheme="minorHAnsi"/>
        </w:rPr>
      </w:pPr>
      <w:r w:rsidRPr="00A96DBD">
        <w:rPr>
          <w:rFonts w:cstheme="minorHAnsi"/>
          <w:bCs/>
        </w:rPr>
        <w:t>In summary, the high male to female ratio across NDIS participants is due to the relatively high proportion of children entering the Scheme. The most common disability types at younger ages are autism</w:t>
      </w:r>
      <w:r w:rsidR="001238DC">
        <w:rPr>
          <w:rFonts w:cstheme="minorHAnsi"/>
          <w:bCs/>
        </w:rPr>
        <w:t xml:space="preserve"> and</w:t>
      </w:r>
      <w:r w:rsidRPr="00A96DBD">
        <w:rPr>
          <w:rFonts w:cstheme="minorHAnsi"/>
          <w:bCs/>
        </w:rPr>
        <w:t xml:space="preserve"> developmental delay, which are far more prevalent in males than females. </w:t>
      </w:r>
    </w:p>
    <w:p w14:paraId="02BA609C" w14:textId="77777777" w:rsidR="00C801A2" w:rsidRDefault="00C801A2" w:rsidP="00E01721">
      <w:pPr>
        <w:rPr>
          <w:rFonts w:asciiTheme="majorHAnsi" w:hAnsiTheme="majorHAnsi" w:cstheme="majorHAnsi"/>
          <w:sz w:val="24"/>
        </w:rPr>
      </w:pPr>
    </w:p>
    <w:p w14:paraId="218EF959" w14:textId="1F28FE8E" w:rsidR="00E01721" w:rsidRPr="00D020C9" w:rsidRDefault="00BC03FD" w:rsidP="00E01721">
      <w:pPr>
        <w:rPr>
          <w:rFonts w:asciiTheme="majorHAnsi" w:hAnsiTheme="majorHAnsi" w:cstheme="majorHAnsi"/>
          <w:sz w:val="24"/>
        </w:rPr>
      </w:pPr>
      <w:r w:rsidRPr="00323055">
        <w:rPr>
          <w:rFonts w:asciiTheme="majorHAnsi" w:hAnsiTheme="majorHAnsi" w:cstheme="majorHAnsi"/>
          <w:sz w:val="24"/>
        </w:rPr>
        <w:t>Page 6</w:t>
      </w:r>
      <w:r w:rsidR="00323055" w:rsidRPr="00323055">
        <w:rPr>
          <w:rFonts w:asciiTheme="majorHAnsi" w:hAnsiTheme="majorHAnsi" w:cstheme="majorHAnsi"/>
          <w:sz w:val="24"/>
        </w:rPr>
        <w:t xml:space="preserve"> - </w:t>
      </w:r>
      <w:r w:rsidR="00323055" w:rsidRPr="00323055">
        <w:rPr>
          <w:rFonts w:asciiTheme="majorHAnsi" w:hAnsiTheme="majorHAnsi" w:cstheme="majorHAnsi"/>
          <w:bCs/>
          <w:sz w:val="24"/>
        </w:rPr>
        <w:t xml:space="preserve">NDIS participants by disability and </w:t>
      </w:r>
      <w:r w:rsidR="00323055" w:rsidRPr="00D020C9">
        <w:rPr>
          <w:rFonts w:asciiTheme="majorHAnsi" w:hAnsiTheme="majorHAnsi" w:cstheme="majorHAnsi"/>
          <w:bCs/>
          <w:sz w:val="24"/>
        </w:rPr>
        <w:t>gender</w:t>
      </w:r>
    </w:p>
    <w:p w14:paraId="33E1BE6F" w14:textId="7C6D00EC" w:rsidR="001C25AF" w:rsidRPr="00A96DBD" w:rsidRDefault="001B0EBD" w:rsidP="00990014">
      <w:pPr>
        <w:rPr>
          <w:rFonts w:cstheme="minorHAnsi"/>
        </w:rPr>
      </w:pPr>
      <w:r w:rsidRPr="00D020C9">
        <w:rPr>
          <w:rFonts w:cstheme="minorHAnsi"/>
        </w:rPr>
        <w:t xml:space="preserve">The ratio of male to female NDIS participants was </w:t>
      </w:r>
      <w:r w:rsidRPr="00D020C9">
        <w:rPr>
          <w:rFonts w:cstheme="minorHAnsi"/>
          <w:bCs/>
        </w:rPr>
        <w:t>1.7</w:t>
      </w:r>
      <w:r w:rsidRPr="00A96DBD">
        <w:rPr>
          <w:rFonts w:cstheme="minorHAnsi"/>
        </w:rPr>
        <w:t xml:space="preserve"> as at 31 December 2019, for ages 0 to 64. Ages</w:t>
      </w:r>
      <w:r w:rsidR="00203846" w:rsidRPr="00A96DBD">
        <w:rPr>
          <w:rFonts w:cstheme="minorHAnsi"/>
        </w:rPr>
        <w:t xml:space="preserve"> 65 and over have been excluded. </w:t>
      </w:r>
    </w:p>
    <w:p w14:paraId="347AFF03" w14:textId="6D8BD7AB" w:rsidR="00990014" w:rsidRPr="00A96DBD" w:rsidRDefault="0079300E" w:rsidP="00990014">
      <w:pPr>
        <w:rPr>
          <w:rFonts w:cstheme="minorHAnsi"/>
        </w:rPr>
      </w:pPr>
      <w:r w:rsidRPr="00A96DBD">
        <w:rPr>
          <w:rFonts w:cstheme="minorHAnsi"/>
        </w:rPr>
        <w:t>On this page, a</w:t>
      </w:r>
      <w:r w:rsidR="001B0EBD" w:rsidRPr="00A96DBD">
        <w:rPr>
          <w:rFonts w:cstheme="minorHAnsi"/>
        </w:rPr>
        <w:t xml:space="preserve"> chart, labelled as Figure 1, sets out the distribution of Scheme participants by primary disability and gender</w:t>
      </w:r>
      <w:r w:rsidRPr="00A96DBD">
        <w:rPr>
          <w:rFonts w:cstheme="minorHAnsi"/>
        </w:rPr>
        <w:t xml:space="preserve">. </w:t>
      </w:r>
      <w:r w:rsidR="008F69E5" w:rsidRPr="00A96DBD">
        <w:rPr>
          <w:rFonts w:cstheme="minorHAnsi"/>
        </w:rPr>
        <w:t>Figure 1 also includes the males to female ratio for each disability type</w:t>
      </w:r>
      <w:r w:rsidR="00C07CFA" w:rsidRPr="00A96DBD">
        <w:rPr>
          <w:rFonts w:cstheme="minorHAnsi"/>
        </w:rPr>
        <w:t>. Participants with an indeterminate gender have been excluded from this analysis. At 31 December 2019, the gender of 1% of partic</w:t>
      </w:r>
      <w:r w:rsidR="007E6847" w:rsidRPr="00A96DBD">
        <w:rPr>
          <w:rFonts w:cstheme="minorHAnsi"/>
        </w:rPr>
        <w:t>ipants was reported as ‘Other’, including</w:t>
      </w:r>
      <w:r w:rsidR="00C07CFA" w:rsidRPr="00A96DBD">
        <w:rPr>
          <w:rFonts w:cstheme="minorHAnsi"/>
        </w:rPr>
        <w:t xml:space="preserve"> where gender was not recorded.</w:t>
      </w:r>
      <w:r w:rsidR="003302E1" w:rsidRPr="00A96DBD">
        <w:rPr>
          <w:rFonts w:cstheme="minorHAnsi"/>
        </w:rPr>
        <w:t xml:space="preserve"> Also, the Intellectual Disability category includes participants with Down </w:t>
      </w:r>
      <w:r w:rsidR="00C801A2">
        <w:rPr>
          <w:rFonts w:cstheme="minorHAnsi"/>
        </w:rPr>
        <w:t>s</w:t>
      </w:r>
      <w:r w:rsidR="003302E1" w:rsidRPr="00A96DBD">
        <w:rPr>
          <w:rFonts w:cstheme="minorHAnsi"/>
        </w:rPr>
        <w:t xml:space="preserve">yndrome. </w:t>
      </w:r>
    </w:p>
    <w:p w14:paraId="30D69669" w14:textId="77777777" w:rsidR="00C801A2" w:rsidRDefault="00C801A2" w:rsidP="00990014">
      <w:pPr>
        <w:rPr>
          <w:rFonts w:asciiTheme="majorHAnsi" w:hAnsiTheme="majorHAnsi" w:cstheme="majorHAnsi"/>
          <w:sz w:val="24"/>
        </w:rPr>
      </w:pPr>
    </w:p>
    <w:p w14:paraId="5BA6D36B" w14:textId="240D8227" w:rsidR="00260C35" w:rsidRPr="00AC2014" w:rsidRDefault="00260C35" w:rsidP="00990014">
      <w:pPr>
        <w:rPr>
          <w:rFonts w:asciiTheme="majorHAnsi" w:hAnsiTheme="majorHAnsi" w:cstheme="majorHAnsi"/>
          <w:sz w:val="24"/>
        </w:rPr>
      </w:pPr>
      <w:r w:rsidRPr="00A96DBD">
        <w:rPr>
          <w:rFonts w:asciiTheme="majorHAnsi" w:hAnsiTheme="majorHAnsi" w:cstheme="majorHAnsi"/>
          <w:sz w:val="24"/>
        </w:rPr>
        <w:t xml:space="preserve">Page 7 </w:t>
      </w:r>
      <w:r w:rsidR="00AC2014">
        <w:rPr>
          <w:rFonts w:asciiTheme="majorHAnsi" w:hAnsiTheme="majorHAnsi" w:cstheme="majorHAnsi"/>
          <w:sz w:val="24"/>
        </w:rPr>
        <w:t xml:space="preserve">- </w:t>
      </w:r>
      <w:r w:rsidR="00AC2014" w:rsidRPr="00AC2014">
        <w:rPr>
          <w:rFonts w:asciiTheme="majorHAnsi" w:hAnsiTheme="majorHAnsi" w:cstheme="majorHAnsi"/>
          <w:bCs/>
          <w:sz w:val="24"/>
        </w:rPr>
        <w:t>Male to female ratios for disability types</w:t>
      </w:r>
    </w:p>
    <w:p w14:paraId="474CB250" w14:textId="6039416A" w:rsidR="00260C35" w:rsidRPr="00A96DBD" w:rsidRDefault="00260C35" w:rsidP="00990014">
      <w:pPr>
        <w:rPr>
          <w:rFonts w:cstheme="minorHAnsi"/>
        </w:rPr>
      </w:pPr>
      <w:r w:rsidRPr="00A96DBD">
        <w:rPr>
          <w:rFonts w:cstheme="minorHAnsi"/>
        </w:rPr>
        <w:t>The chart depicts the following results:</w:t>
      </w:r>
    </w:p>
    <w:p w14:paraId="68C8D1FA" w14:textId="19F47DBA" w:rsidR="002956A6" w:rsidRPr="00A96DBD" w:rsidRDefault="00190638" w:rsidP="00AE2A21">
      <w:pPr>
        <w:numPr>
          <w:ilvl w:val="0"/>
          <w:numId w:val="19"/>
        </w:numPr>
        <w:rPr>
          <w:rFonts w:cstheme="minorHAnsi"/>
        </w:rPr>
      </w:pPr>
      <w:r w:rsidRPr="00A96DBD">
        <w:rPr>
          <w:rFonts w:cstheme="minorHAnsi"/>
          <w:b/>
          <w:bCs/>
        </w:rPr>
        <w:t>Autism</w:t>
      </w:r>
      <w:r w:rsidRPr="00A96DBD">
        <w:rPr>
          <w:rFonts w:cstheme="minorHAnsi"/>
        </w:rPr>
        <w:t xml:space="preserve"> is the most common primary disability type of NDIS participants. </w:t>
      </w:r>
      <w:r w:rsidRPr="00D020C9">
        <w:rPr>
          <w:rFonts w:cstheme="minorHAnsi"/>
        </w:rPr>
        <w:t xml:space="preserve">There are </w:t>
      </w:r>
      <w:r w:rsidRPr="00D020C9">
        <w:rPr>
          <w:rFonts w:cstheme="minorHAnsi"/>
          <w:bCs/>
        </w:rPr>
        <w:t>3.2</w:t>
      </w:r>
      <w:r w:rsidRPr="00D020C9">
        <w:rPr>
          <w:rFonts w:cstheme="minorHAnsi"/>
        </w:rPr>
        <w:t xml:space="preserve"> times the number of male participants wi</w:t>
      </w:r>
      <w:r w:rsidR="009B174B" w:rsidRPr="00D020C9">
        <w:rPr>
          <w:rFonts w:cstheme="minorHAnsi"/>
        </w:rPr>
        <w:t>th autism compared with females, which is the highest</w:t>
      </w:r>
      <w:r w:rsidR="009B174B" w:rsidRPr="00A96DBD">
        <w:rPr>
          <w:rFonts w:cstheme="minorHAnsi"/>
        </w:rPr>
        <w:t xml:space="preserve"> ratio </w:t>
      </w:r>
      <w:r w:rsidR="00A62907" w:rsidRPr="00A96DBD">
        <w:rPr>
          <w:rFonts w:cstheme="minorHAnsi"/>
        </w:rPr>
        <w:t xml:space="preserve">across all disability groupings. </w:t>
      </w:r>
    </w:p>
    <w:p w14:paraId="41A7AB14" w14:textId="592D6830" w:rsidR="00AE2A21" w:rsidRPr="00A96DBD" w:rsidRDefault="00AE2A21" w:rsidP="00AE2A21">
      <w:pPr>
        <w:numPr>
          <w:ilvl w:val="0"/>
          <w:numId w:val="19"/>
        </w:numPr>
        <w:rPr>
          <w:rFonts w:cstheme="minorHAnsi"/>
        </w:rPr>
      </w:pPr>
      <w:r w:rsidRPr="00A96DBD">
        <w:rPr>
          <w:rFonts w:cstheme="minorHAnsi"/>
          <w:b/>
          <w:bCs/>
        </w:rPr>
        <w:t xml:space="preserve">Intellectual disability </w:t>
      </w:r>
      <w:r w:rsidRPr="00A96DBD">
        <w:rPr>
          <w:rFonts w:cstheme="minorHAnsi"/>
        </w:rPr>
        <w:t xml:space="preserve">is the second most common primary disability type. It also has a clear bias towards males, </w:t>
      </w:r>
      <w:r w:rsidRPr="00D020C9">
        <w:rPr>
          <w:rFonts w:cstheme="minorHAnsi"/>
        </w:rPr>
        <w:t xml:space="preserve">with </w:t>
      </w:r>
      <w:r w:rsidRPr="00D020C9">
        <w:rPr>
          <w:rFonts w:cstheme="minorHAnsi"/>
          <w:bCs/>
        </w:rPr>
        <w:t>1.3</w:t>
      </w:r>
      <w:r w:rsidRPr="00D020C9">
        <w:rPr>
          <w:rFonts w:cstheme="minorHAnsi"/>
        </w:rPr>
        <w:t xml:space="preserve"> times</w:t>
      </w:r>
      <w:r w:rsidRPr="00A96DBD">
        <w:rPr>
          <w:rFonts w:cstheme="minorHAnsi"/>
        </w:rPr>
        <w:t xml:space="preserve"> the number of male participants compared with females. Some of this difference is driven by participants having both autism and intellectual disability, noting that the prevalence of autism is higher for males than females. Across all </w:t>
      </w:r>
      <w:r w:rsidRPr="00A96DBD">
        <w:rPr>
          <w:rFonts w:cstheme="minorHAnsi"/>
        </w:rPr>
        <w:lastRenderedPageBreak/>
        <w:t xml:space="preserve">participants with a primary disability of intellectual disability, 11% also have autism as a secondary disability. For that group, the ratio of males to females is 2.4.  </w:t>
      </w:r>
    </w:p>
    <w:p w14:paraId="2A0F3062" w14:textId="77777777" w:rsidR="002956A6" w:rsidRPr="00A96DBD" w:rsidRDefault="00190638" w:rsidP="00777B92">
      <w:pPr>
        <w:numPr>
          <w:ilvl w:val="0"/>
          <w:numId w:val="19"/>
        </w:numPr>
        <w:rPr>
          <w:rFonts w:cstheme="minorHAnsi"/>
        </w:rPr>
      </w:pPr>
      <w:r w:rsidRPr="00A96DBD">
        <w:rPr>
          <w:rFonts w:cstheme="minorHAnsi"/>
          <w:b/>
          <w:bCs/>
        </w:rPr>
        <w:t xml:space="preserve">Developmental delay </w:t>
      </w:r>
      <w:r w:rsidRPr="00A96DBD">
        <w:rPr>
          <w:rFonts w:cstheme="minorHAnsi"/>
        </w:rPr>
        <w:t>and</w:t>
      </w:r>
      <w:r w:rsidRPr="00A96DBD">
        <w:rPr>
          <w:rFonts w:cstheme="minorHAnsi"/>
          <w:b/>
          <w:bCs/>
        </w:rPr>
        <w:t xml:space="preserve"> global developmental delay</w:t>
      </w:r>
      <w:r w:rsidRPr="00A96DBD">
        <w:rPr>
          <w:rFonts w:cstheme="minorHAnsi"/>
        </w:rPr>
        <w:t xml:space="preserve">, which primarily relate to children, have male to female ratios </w:t>
      </w:r>
      <w:r w:rsidRPr="00D020C9">
        <w:rPr>
          <w:rFonts w:cstheme="minorHAnsi"/>
        </w:rPr>
        <w:t xml:space="preserve">of </w:t>
      </w:r>
      <w:r w:rsidRPr="00D020C9">
        <w:rPr>
          <w:rFonts w:cstheme="minorHAnsi"/>
          <w:bCs/>
        </w:rPr>
        <w:t>2.5</w:t>
      </w:r>
      <w:r w:rsidRPr="00D020C9">
        <w:rPr>
          <w:rFonts w:cstheme="minorHAnsi"/>
        </w:rPr>
        <w:t xml:space="preserve"> and </w:t>
      </w:r>
      <w:r w:rsidRPr="00D020C9">
        <w:rPr>
          <w:rFonts w:cstheme="minorHAnsi"/>
          <w:bCs/>
        </w:rPr>
        <w:t>2.3</w:t>
      </w:r>
      <w:r w:rsidRPr="00A96DBD">
        <w:rPr>
          <w:rFonts w:cstheme="minorHAnsi"/>
        </w:rPr>
        <w:t xml:space="preserve"> respectively. </w:t>
      </w:r>
    </w:p>
    <w:p w14:paraId="04646C74" w14:textId="1BE306D6" w:rsidR="002956A6" w:rsidRPr="00A96DBD" w:rsidRDefault="004074ED" w:rsidP="004074ED">
      <w:pPr>
        <w:numPr>
          <w:ilvl w:val="0"/>
          <w:numId w:val="19"/>
        </w:numPr>
        <w:rPr>
          <w:rFonts w:cstheme="minorHAnsi"/>
        </w:rPr>
      </w:pPr>
      <w:r w:rsidRPr="00A96DBD">
        <w:rPr>
          <w:rFonts w:cstheme="minorHAnsi"/>
          <w:b/>
          <w:bCs/>
        </w:rPr>
        <w:t>Acquired brain injury, known as A-</w:t>
      </w:r>
      <w:r w:rsidR="00190638" w:rsidRPr="00A96DBD">
        <w:rPr>
          <w:rFonts w:cstheme="minorHAnsi"/>
          <w:b/>
          <w:bCs/>
        </w:rPr>
        <w:t>B</w:t>
      </w:r>
      <w:r w:rsidRPr="00A96DBD">
        <w:rPr>
          <w:rFonts w:cstheme="minorHAnsi"/>
          <w:b/>
          <w:bCs/>
        </w:rPr>
        <w:t>-I</w:t>
      </w:r>
      <w:r w:rsidR="00190638" w:rsidRPr="00A96DBD">
        <w:rPr>
          <w:rFonts w:cstheme="minorHAnsi"/>
          <w:b/>
          <w:bCs/>
        </w:rPr>
        <w:t xml:space="preserve"> </w:t>
      </w:r>
      <w:r w:rsidR="00190638" w:rsidRPr="00A96DBD">
        <w:rPr>
          <w:rFonts w:cstheme="minorHAnsi"/>
        </w:rPr>
        <w:t xml:space="preserve">and </w:t>
      </w:r>
      <w:r w:rsidRPr="00A96DBD">
        <w:rPr>
          <w:rFonts w:cstheme="minorHAnsi"/>
          <w:b/>
          <w:bCs/>
        </w:rPr>
        <w:t xml:space="preserve">spinal cord injury, known as </w:t>
      </w:r>
      <w:r w:rsidR="00190638" w:rsidRPr="00A96DBD">
        <w:rPr>
          <w:rFonts w:cstheme="minorHAnsi"/>
          <w:b/>
          <w:bCs/>
        </w:rPr>
        <w:t>S</w:t>
      </w:r>
      <w:r w:rsidRPr="00A96DBD">
        <w:rPr>
          <w:rFonts w:cstheme="minorHAnsi"/>
          <w:b/>
          <w:bCs/>
        </w:rPr>
        <w:t>-</w:t>
      </w:r>
      <w:r w:rsidR="00190638" w:rsidRPr="00A96DBD">
        <w:rPr>
          <w:rFonts w:cstheme="minorHAnsi"/>
          <w:b/>
          <w:bCs/>
        </w:rPr>
        <w:t>C</w:t>
      </w:r>
      <w:r w:rsidRPr="00A96DBD">
        <w:rPr>
          <w:rFonts w:cstheme="minorHAnsi"/>
          <w:b/>
          <w:bCs/>
        </w:rPr>
        <w:t xml:space="preserve">-I, </w:t>
      </w:r>
      <w:r w:rsidR="00AF7152" w:rsidRPr="00A96DBD">
        <w:rPr>
          <w:rFonts w:cstheme="minorHAnsi"/>
        </w:rPr>
        <w:t>a</w:t>
      </w:r>
      <w:r w:rsidR="00190638" w:rsidRPr="00A96DBD">
        <w:rPr>
          <w:rFonts w:cstheme="minorHAnsi"/>
        </w:rPr>
        <w:t>re smaller groups as a percentage of total Scheme participants. However, males are over-represented in these categories as well. This is consistent with accident compensation schemes where rates of injury are higher in males compared with females.</w:t>
      </w:r>
    </w:p>
    <w:p w14:paraId="2FD49216" w14:textId="77777777" w:rsidR="00C801A2" w:rsidRDefault="00C801A2" w:rsidP="00B7024E">
      <w:pPr>
        <w:rPr>
          <w:rFonts w:asciiTheme="majorHAnsi" w:hAnsiTheme="majorHAnsi" w:cstheme="majorHAnsi"/>
          <w:sz w:val="24"/>
        </w:rPr>
      </w:pPr>
    </w:p>
    <w:p w14:paraId="3E02D500" w14:textId="430EF4DD" w:rsidR="00AE2A21" w:rsidRPr="00A96DBD" w:rsidRDefault="00B7024E" w:rsidP="00B7024E">
      <w:pPr>
        <w:rPr>
          <w:rFonts w:asciiTheme="majorHAnsi" w:hAnsiTheme="majorHAnsi" w:cstheme="majorHAnsi"/>
          <w:sz w:val="24"/>
        </w:rPr>
      </w:pPr>
      <w:r w:rsidRPr="00A96DBD">
        <w:rPr>
          <w:rFonts w:asciiTheme="majorHAnsi" w:hAnsiTheme="majorHAnsi" w:cstheme="majorHAnsi"/>
          <w:sz w:val="24"/>
        </w:rPr>
        <w:t>Page 8</w:t>
      </w:r>
      <w:r w:rsidR="00AC2014">
        <w:rPr>
          <w:rFonts w:asciiTheme="majorHAnsi" w:hAnsiTheme="majorHAnsi" w:cstheme="majorHAnsi"/>
          <w:sz w:val="24"/>
        </w:rPr>
        <w:t xml:space="preserve"> - </w:t>
      </w:r>
      <w:r w:rsidR="00AC2014" w:rsidRPr="00AC2014">
        <w:rPr>
          <w:rFonts w:asciiTheme="majorHAnsi" w:hAnsiTheme="majorHAnsi" w:cstheme="majorHAnsi"/>
          <w:bCs/>
          <w:sz w:val="24"/>
        </w:rPr>
        <w:t>Male to female ratios by age</w:t>
      </w:r>
    </w:p>
    <w:p w14:paraId="3760D281" w14:textId="06DD8033" w:rsidR="00F0645A" w:rsidRPr="00A96DBD" w:rsidRDefault="00690338" w:rsidP="00F0645A">
      <w:pPr>
        <w:rPr>
          <w:rFonts w:cstheme="minorHAnsi"/>
        </w:rPr>
      </w:pPr>
      <w:r w:rsidRPr="00A96DBD">
        <w:rPr>
          <w:rFonts w:cstheme="minorHAnsi"/>
        </w:rPr>
        <w:t xml:space="preserve">A chart, labelled as Figure 2, shows the male to female ratios by age for the NDIS population compared with the ‘Tier 3 disability population’ from the </w:t>
      </w:r>
      <w:r w:rsidR="005A7486">
        <w:rPr>
          <w:rFonts w:cstheme="minorHAnsi"/>
        </w:rPr>
        <w:t>SDAC</w:t>
      </w:r>
      <w:r w:rsidR="00F0645A" w:rsidRPr="00A96DBD">
        <w:rPr>
          <w:rFonts w:cstheme="minorHAnsi"/>
          <w:vertAlign w:val="superscript"/>
        </w:rPr>
        <w:t xml:space="preserve"> </w:t>
      </w:r>
      <w:r w:rsidRPr="00A96DBD">
        <w:rPr>
          <w:rFonts w:cstheme="minorHAnsi"/>
        </w:rPr>
        <w:t>and also the general population</w:t>
      </w:r>
      <w:r w:rsidR="00F0645A" w:rsidRPr="00A96DBD">
        <w:rPr>
          <w:rFonts w:cstheme="minorHAnsi"/>
        </w:rPr>
        <w:t xml:space="preserve">. The ‘Tier 3 disability population’ from the Survey of Disability and Aged Care, or </w:t>
      </w:r>
      <w:r w:rsidR="005A7486">
        <w:rPr>
          <w:rFonts w:cstheme="minorHAnsi"/>
        </w:rPr>
        <w:t>SDAC</w:t>
      </w:r>
      <w:r w:rsidR="00F0645A" w:rsidRPr="00A96DBD">
        <w:rPr>
          <w:rFonts w:cstheme="minorHAnsi"/>
        </w:rPr>
        <w:t xml:space="preserve">, are people with significant and enduring support needs who would be eligible for individualised support. </w:t>
      </w:r>
      <w:r w:rsidR="000F2EE2" w:rsidRPr="00A96DBD">
        <w:rPr>
          <w:rFonts w:cstheme="minorHAnsi"/>
        </w:rPr>
        <w:t>Tier 3 is</w:t>
      </w:r>
      <w:r w:rsidR="00F0645A" w:rsidRPr="00A96DBD">
        <w:rPr>
          <w:rFonts w:cstheme="minorHAnsi"/>
        </w:rPr>
        <w:t xml:space="preserve"> the </w:t>
      </w:r>
      <w:r w:rsidR="005A7486">
        <w:rPr>
          <w:rFonts w:cstheme="minorHAnsi"/>
        </w:rPr>
        <w:t>SDAC</w:t>
      </w:r>
      <w:r w:rsidR="00F0645A" w:rsidRPr="00A96DBD">
        <w:rPr>
          <w:rFonts w:cstheme="minorHAnsi"/>
        </w:rPr>
        <w:t xml:space="preserve"> grouping most closely aligned to the eligibility criteria of the NDIS, </w:t>
      </w:r>
      <w:r w:rsidR="00682833" w:rsidRPr="00A96DBD">
        <w:rPr>
          <w:rFonts w:cstheme="minorHAnsi"/>
        </w:rPr>
        <w:t>as defined in the original</w:t>
      </w:r>
      <w:r w:rsidR="00F0645A" w:rsidRPr="00A96DBD">
        <w:rPr>
          <w:rFonts w:cstheme="minorHAnsi"/>
        </w:rPr>
        <w:t xml:space="preserve"> Productivity Co</w:t>
      </w:r>
      <w:r w:rsidR="00682833" w:rsidRPr="00A96DBD">
        <w:rPr>
          <w:rFonts w:cstheme="minorHAnsi"/>
        </w:rPr>
        <w:t>mmission costings for the NDIS</w:t>
      </w:r>
      <w:r w:rsidR="00F0645A" w:rsidRPr="00A96DBD">
        <w:rPr>
          <w:rFonts w:cstheme="minorHAnsi"/>
        </w:rPr>
        <w:t>.</w:t>
      </w:r>
    </w:p>
    <w:p w14:paraId="3804F3EE" w14:textId="38BEDEDC" w:rsidR="00690338" w:rsidRPr="00A96DBD" w:rsidRDefault="00E9092E" w:rsidP="00F0645A">
      <w:pPr>
        <w:rPr>
          <w:rFonts w:cstheme="minorHAnsi"/>
        </w:rPr>
      </w:pPr>
      <w:r w:rsidRPr="00A96DBD">
        <w:rPr>
          <w:rFonts w:cstheme="minorHAnsi"/>
        </w:rPr>
        <w:t>The chart shows that</w:t>
      </w:r>
      <w:r w:rsidR="00F0645A" w:rsidRPr="00A96DBD">
        <w:rPr>
          <w:rFonts w:cstheme="minorHAnsi"/>
        </w:rPr>
        <w:t xml:space="preserve"> </w:t>
      </w:r>
      <w:r w:rsidRPr="00A96DBD">
        <w:rPr>
          <w:rFonts w:cstheme="minorHAnsi"/>
        </w:rPr>
        <w:t>t</w:t>
      </w:r>
      <w:r w:rsidR="00690338" w:rsidRPr="00A96DBD">
        <w:rPr>
          <w:rFonts w:cstheme="minorHAnsi"/>
        </w:rPr>
        <w:t xml:space="preserve">he ratio of males to females in the NDIS is highest at young ages. This is driven by autism, developmental delay and intellectual disability which are more prevalent in male children compared with females. </w:t>
      </w:r>
    </w:p>
    <w:p w14:paraId="310ED39F" w14:textId="70383DB8" w:rsidR="00690338" w:rsidRPr="00A96DBD" w:rsidRDefault="00690338" w:rsidP="00690338">
      <w:pPr>
        <w:rPr>
          <w:rFonts w:cstheme="minorHAnsi"/>
        </w:rPr>
      </w:pPr>
      <w:r w:rsidRPr="00A96DBD">
        <w:rPr>
          <w:rFonts w:cstheme="minorHAnsi"/>
        </w:rPr>
        <w:t xml:space="preserve">The same trend of higher male to female ratios at young ages is evident in other disability populations including the </w:t>
      </w:r>
      <w:r w:rsidR="005A7486">
        <w:rPr>
          <w:rFonts w:cstheme="minorHAnsi"/>
        </w:rPr>
        <w:t>SDAC</w:t>
      </w:r>
      <w:r w:rsidRPr="00A96DBD">
        <w:rPr>
          <w:rFonts w:cstheme="minorHAnsi"/>
        </w:rPr>
        <w:t xml:space="preserve">. </w:t>
      </w:r>
      <w:r w:rsidR="001238DC">
        <w:rPr>
          <w:rFonts w:cstheme="minorHAnsi"/>
        </w:rPr>
        <w:t>Note</w:t>
      </w:r>
      <w:r w:rsidR="001238DC" w:rsidRPr="00A96DBD">
        <w:rPr>
          <w:rFonts w:cstheme="minorHAnsi"/>
        </w:rPr>
        <w:t xml:space="preserve"> the ratio for the general population is close to parity for all age groups analysed.</w:t>
      </w:r>
    </w:p>
    <w:p w14:paraId="20D9434B" w14:textId="5F0D014F" w:rsidR="00690338" w:rsidRPr="00A96DBD" w:rsidRDefault="001F326E" w:rsidP="00690338">
      <w:pPr>
        <w:rPr>
          <w:rFonts w:cstheme="minorHAnsi"/>
        </w:rPr>
      </w:pPr>
      <w:r w:rsidRPr="00A96DBD">
        <w:rPr>
          <w:rFonts w:cstheme="minorHAnsi"/>
        </w:rPr>
        <w:t xml:space="preserve">For the </w:t>
      </w:r>
      <w:r w:rsidR="005A7486">
        <w:rPr>
          <w:rFonts w:cstheme="minorHAnsi"/>
        </w:rPr>
        <w:t>SDAC</w:t>
      </w:r>
      <w:r w:rsidRPr="00A96DBD">
        <w:rPr>
          <w:rFonts w:cstheme="minorHAnsi"/>
        </w:rPr>
        <w:t xml:space="preserve"> Tier 3 population, the overall ratio of male to female is </w:t>
      </w:r>
      <w:r w:rsidRPr="00A96DBD">
        <w:rPr>
          <w:rFonts w:cstheme="minorHAnsi"/>
          <w:b/>
          <w:bCs/>
        </w:rPr>
        <w:t>1.45</w:t>
      </w:r>
      <w:r w:rsidRPr="00A96DBD">
        <w:rPr>
          <w:rFonts w:cstheme="minorHAnsi"/>
        </w:rPr>
        <w:t xml:space="preserve"> compared with </w:t>
      </w:r>
      <w:r w:rsidRPr="00A96DBD">
        <w:rPr>
          <w:rFonts w:cstheme="minorHAnsi"/>
          <w:b/>
          <w:bCs/>
        </w:rPr>
        <w:t>1.70</w:t>
      </w:r>
      <w:r w:rsidRPr="00A96DBD">
        <w:rPr>
          <w:rFonts w:cstheme="minorHAnsi"/>
        </w:rPr>
        <w:t xml:space="preserve"> for NDIS participants. Although the NDIS ratio is higher, in both cases, the overall predom</w:t>
      </w:r>
      <w:r w:rsidR="00D658C6" w:rsidRPr="00A96DBD">
        <w:rPr>
          <w:rFonts w:cstheme="minorHAnsi"/>
        </w:rPr>
        <w:t xml:space="preserve">inance of males is </w:t>
      </w:r>
      <w:r w:rsidRPr="00A96DBD">
        <w:rPr>
          <w:rFonts w:cstheme="minorHAnsi"/>
        </w:rPr>
        <w:t xml:space="preserve">driven by the high ratios at younger ages. </w:t>
      </w:r>
    </w:p>
    <w:p w14:paraId="1541701A" w14:textId="03763374" w:rsidR="00A0351C" w:rsidRPr="00A96DBD" w:rsidRDefault="00A0351C" w:rsidP="00690338">
      <w:pPr>
        <w:rPr>
          <w:rFonts w:asciiTheme="majorHAnsi" w:hAnsiTheme="majorHAnsi" w:cstheme="majorHAnsi"/>
          <w:sz w:val="24"/>
        </w:rPr>
      </w:pPr>
      <w:r w:rsidRPr="00A96DBD">
        <w:rPr>
          <w:rFonts w:asciiTheme="majorHAnsi" w:hAnsiTheme="majorHAnsi" w:cstheme="majorHAnsi"/>
          <w:sz w:val="24"/>
        </w:rPr>
        <w:t>Page 9</w:t>
      </w:r>
      <w:r w:rsidR="00FB64F4">
        <w:rPr>
          <w:rFonts w:asciiTheme="majorHAnsi" w:hAnsiTheme="majorHAnsi" w:cstheme="majorHAnsi"/>
          <w:sz w:val="24"/>
        </w:rPr>
        <w:t xml:space="preserve"> - </w:t>
      </w:r>
      <w:r w:rsidR="00FB64F4" w:rsidRPr="00FB64F4">
        <w:rPr>
          <w:rFonts w:asciiTheme="majorHAnsi" w:hAnsiTheme="majorHAnsi" w:cstheme="majorHAnsi"/>
          <w:bCs/>
          <w:sz w:val="24"/>
        </w:rPr>
        <w:t>Age mix in the NDIS and the impact on male to female ratios</w:t>
      </w:r>
    </w:p>
    <w:p w14:paraId="0CEA3495" w14:textId="211CB696" w:rsidR="00FD2764" w:rsidRPr="00A96DBD" w:rsidRDefault="00FD2764" w:rsidP="00690338">
      <w:pPr>
        <w:rPr>
          <w:rFonts w:cstheme="minorHAnsi"/>
        </w:rPr>
      </w:pPr>
      <w:r w:rsidRPr="00A96DBD">
        <w:rPr>
          <w:rFonts w:cstheme="minorHAnsi"/>
        </w:rPr>
        <w:t xml:space="preserve">This page describes the age mix </w:t>
      </w:r>
      <w:r w:rsidR="00823B4F" w:rsidRPr="00A96DBD">
        <w:rPr>
          <w:rFonts w:cstheme="minorHAnsi"/>
        </w:rPr>
        <w:t xml:space="preserve">in the NDIS and the impact on male to female ratios. </w:t>
      </w:r>
    </w:p>
    <w:p w14:paraId="4E60FE37" w14:textId="1133E342" w:rsidR="002956A6" w:rsidRPr="00D020C9" w:rsidRDefault="00190638" w:rsidP="00782599">
      <w:pPr>
        <w:rPr>
          <w:rFonts w:cstheme="minorHAnsi"/>
        </w:rPr>
      </w:pPr>
      <w:r w:rsidRPr="00D020C9">
        <w:rPr>
          <w:rFonts w:cstheme="minorHAnsi"/>
        </w:rPr>
        <w:t xml:space="preserve">With a focus on Early Intervention, the NDIS has a high proportion of participants at young ages. </w:t>
      </w:r>
      <w:r w:rsidRPr="00D020C9">
        <w:rPr>
          <w:rFonts w:cstheme="minorHAnsi"/>
          <w:bCs/>
        </w:rPr>
        <w:t>41%</w:t>
      </w:r>
      <w:r w:rsidRPr="00D020C9">
        <w:rPr>
          <w:rFonts w:cstheme="minorHAnsi"/>
        </w:rPr>
        <w:t xml:space="preserve"> of NDIS participants </w:t>
      </w:r>
      <w:r w:rsidR="009221E9" w:rsidRPr="00D020C9">
        <w:rPr>
          <w:rFonts w:cstheme="minorHAnsi"/>
        </w:rPr>
        <w:t>under 65</w:t>
      </w:r>
      <w:r w:rsidR="00FF58B6" w:rsidRPr="00D020C9">
        <w:rPr>
          <w:rFonts w:cstheme="minorHAnsi"/>
        </w:rPr>
        <w:t xml:space="preserve"> are aged 0 to 14 years. This figure is</w:t>
      </w:r>
      <w:r w:rsidRPr="00D020C9">
        <w:rPr>
          <w:rFonts w:cstheme="minorHAnsi"/>
        </w:rPr>
        <w:t xml:space="preserve"> </w:t>
      </w:r>
      <w:r w:rsidRPr="00D020C9">
        <w:rPr>
          <w:rFonts w:cstheme="minorHAnsi"/>
          <w:bCs/>
        </w:rPr>
        <w:t>29%</w:t>
      </w:r>
      <w:r w:rsidR="00782599" w:rsidRPr="00D020C9">
        <w:rPr>
          <w:rFonts w:cstheme="minorHAnsi"/>
        </w:rPr>
        <w:t xml:space="preserve"> in the SDAC Tier 3 population </w:t>
      </w:r>
      <w:r w:rsidRPr="00D020C9">
        <w:rPr>
          <w:rFonts w:cstheme="minorHAnsi"/>
        </w:rPr>
        <w:t xml:space="preserve">and </w:t>
      </w:r>
      <w:r w:rsidRPr="00D020C9">
        <w:rPr>
          <w:rFonts w:cstheme="minorHAnsi"/>
          <w:bCs/>
        </w:rPr>
        <w:t>22%</w:t>
      </w:r>
      <w:r w:rsidRPr="00D020C9">
        <w:rPr>
          <w:rFonts w:cstheme="minorHAnsi"/>
        </w:rPr>
        <w:t xml:space="preserve"> in the gen</w:t>
      </w:r>
      <w:r w:rsidR="00782599" w:rsidRPr="00D020C9">
        <w:rPr>
          <w:rFonts w:cstheme="minorHAnsi"/>
        </w:rPr>
        <w:t>eral population.</w:t>
      </w:r>
      <w:r w:rsidRPr="00D020C9">
        <w:rPr>
          <w:rFonts w:cstheme="minorHAnsi"/>
        </w:rPr>
        <w:t xml:space="preserve"> </w:t>
      </w:r>
    </w:p>
    <w:p w14:paraId="0FF3486A" w14:textId="4F886B0F" w:rsidR="005427B6" w:rsidRPr="00A96DBD" w:rsidRDefault="0097716C" w:rsidP="00782599">
      <w:pPr>
        <w:rPr>
          <w:rFonts w:cstheme="minorHAnsi"/>
        </w:rPr>
      </w:pPr>
      <w:r w:rsidRPr="00D020C9">
        <w:rPr>
          <w:rFonts w:cstheme="minorHAnsi"/>
        </w:rPr>
        <w:t>This difference in age distribution</w:t>
      </w:r>
      <w:r w:rsidR="001238DC">
        <w:rPr>
          <w:rFonts w:cstheme="minorHAnsi"/>
        </w:rPr>
        <w:t>, combined with the</w:t>
      </w:r>
      <w:r w:rsidRPr="00D020C9">
        <w:rPr>
          <w:rFonts w:cstheme="minorHAnsi"/>
        </w:rPr>
        <w:t xml:space="preserve"> </w:t>
      </w:r>
      <w:r w:rsidR="001238DC" w:rsidRPr="00A96DBD">
        <w:rPr>
          <w:rFonts w:cstheme="minorHAnsi"/>
        </w:rPr>
        <w:t>prevalence of certain disability types in children</w:t>
      </w:r>
      <w:r w:rsidR="001238DC">
        <w:rPr>
          <w:rFonts w:cstheme="minorHAnsi"/>
        </w:rPr>
        <w:t>,</w:t>
      </w:r>
      <w:r w:rsidR="001238DC" w:rsidRPr="00D020C9">
        <w:rPr>
          <w:rFonts w:cstheme="minorHAnsi"/>
        </w:rPr>
        <w:t xml:space="preserve"> </w:t>
      </w:r>
      <w:r w:rsidRPr="00D020C9">
        <w:rPr>
          <w:rFonts w:cstheme="minorHAnsi"/>
        </w:rPr>
        <w:t>is a key driver of the ratio of males to females</w:t>
      </w:r>
      <w:r w:rsidRPr="00A96DBD">
        <w:rPr>
          <w:rFonts w:cstheme="minorHAnsi"/>
        </w:rPr>
        <w:t xml:space="preserve"> in the NDIS being high relative t</w:t>
      </w:r>
      <w:r w:rsidR="001238DC">
        <w:rPr>
          <w:rFonts w:cstheme="minorHAnsi"/>
        </w:rPr>
        <w:t>o other disability populations.</w:t>
      </w:r>
    </w:p>
    <w:p w14:paraId="4DC8515E" w14:textId="57ACD18A" w:rsidR="00C95E84" w:rsidRPr="00A96DBD" w:rsidRDefault="00C95E84" w:rsidP="00C95E84">
      <w:pPr>
        <w:rPr>
          <w:rFonts w:cstheme="minorHAnsi"/>
          <w:bCs/>
          <w:iCs/>
        </w:rPr>
      </w:pPr>
      <w:r w:rsidRPr="00A96DBD">
        <w:rPr>
          <w:rFonts w:cstheme="minorHAnsi"/>
          <w:bCs/>
          <w:iCs/>
        </w:rPr>
        <w:t xml:space="preserve">Hence, overall gender ratios are impacted by the age and disability mix in the NDIS population and introduce bias in comparisons to other populations. </w:t>
      </w:r>
    </w:p>
    <w:p w14:paraId="74D33B86" w14:textId="77777777" w:rsidR="002956A6" w:rsidRPr="00A96DBD" w:rsidRDefault="00190638" w:rsidP="00C95E84">
      <w:pPr>
        <w:rPr>
          <w:rFonts w:cstheme="minorHAnsi"/>
        </w:rPr>
      </w:pPr>
      <w:r w:rsidRPr="00A96DBD">
        <w:rPr>
          <w:rFonts w:cstheme="minorHAnsi"/>
          <w:b/>
          <w:bCs/>
        </w:rPr>
        <w:t xml:space="preserve">Age standardisation </w:t>
      </w:r>
      <w:r w:rsidRPr="00A96DBD">
        <w:rPr>
          <w:rFonts w:cstheme="minorHAnsi"/>
        </w:rPr>
        <w:t>has been used to allow for this bias.</w:t>
      </w:r>
    </w:p>
    <w:p w14:paraId="669F7F62" w14:textId="7EE9FB7F" w:rsidR="002956A6" w:rsidRPr="00C801A2" w:rsidRDefault="00190638" w:rsidP="00C801A2">
      <w:pPr>
        <w:pStyle w:val="ListParagraph"/>
        <w:numPr>
          <w:ilvl w:val="0"/>
          <w:numId w:val="25"/>
        </w:numPr>
        <w:rPr>
          <w:rFonts w:cstheme="minorHAnsi"/>
          <w:bCs/>
          <w:iCs/>
        </w:rPr>
      </w:pPr>
      <w:r w:rsidRPr="00C801A2">
        <w:rPr>
          <w:rFonts w:cstheme="minorHAnsi"/>
          <w:bCs/>
          <w:iCs/>
        </w:rPr>
        <w:t xml:space="preserve">In order to gauge the extent to which the high proportion of males in the NDIS is explained by age, the SDAC Tier 3 population has been standardised to the age distribution of the NDIS </w:t>
      </w:r>
      <w:r w:rsidRPr="00C801A2">
        <w:rPr>
          <w:rFonts w:cstheme="minorHAnsi"/>
          <w:bCs/>
          <w:iCs/>
        </w:rPr>
        <w:lastRenderedPageBreak/>
        <w:t>population</w:t>
      </w:r>
      <w:r w:rsidR="007D5713" w:rsidRPr="00C801A2">
        <w:rPr>
          <w:rFonts w:cstheme="minorHAnsi"/>
          <w:bCs/>
          <w:iCs/>
        </w:rPr>
        <w:t xml:space="preserve"> at 31 December 2019. This includes those aged 0 to 64 years and excludes those of</w:t>
      </w:r>
      <w:r w:rsidRPr="00C801A2">
        <w:rPr>
          <w:rFonts w:cstheme="minorHAnsi"/>
          <w:bCs/>
          <w:iCs/>
        </w:rPr>
        <w:t xml:space="preserve"> indeterminate </w:t>
      </w:r>
      <w:r w:rsidR="00AA6A70" w:rsidRPr="00C801A2">
        <w:rPr>
          <w:rFonts w:cstheme="minorHAnsi"/>
          <w:bCs/>
          <w:iCs/>
        </w:rPr>
        <w:t xml:space="preserve">gender, </w:t>
      </w:r>
      <w:r w:rsidRPr="00C801A2">
        <w:rPr>
          <w:rFonts w:cstheme="minorHAnsi"/>
          <w:bCs/>
          <w:iCs/>
        </w:rPr>
        <w:t>while retaining the same gender mix across each age group.</w:t>
      </w:r>
    </w:p>
    <w:p w14:paraId="0FE6CE9C" w14:textId="2241B71E" w:rsidR="002956A6" w:rsidRPr="00C801A2" w:rsidRDefault="00190638" w:rsidP="00C801A2">
      <w:pPr>
        <w:pStyle w:val="ListParagraph"/>
        <w:numPr>
          <w:ilvl w:val="0"/>
          <w:numId w:val="25"/>
        </w:numPr>
        <w:rPr>
          <w:rFonts w:cstheme="minorHAnsi"/>
          <w:bCs/>
          <w:iCs/>
        </w:rPr>
      </w:pPr>
      <w:r w:rsidRPr="00C801A2">
        <w:rPr>
          <w:rFonts w:cstheme="minorHAnsi"/>
          <w:bCs/>
          <w:iCs/>
        </w:rPr>
        <w:t xml:space="preserve">The male to </w:t>
      </w:r>
      <w:r w:rsidR="00682833" w:rsidRPr="00C801A2">
        <w:rPr>
          <w:rFonts w:cstheme="minorHAnsi"/>
          <w:bCs/>
          <w:iCs/>
        </w:rPr>
        <w:t>female ratios for SDAC Tier 3 are</w:t>
      </w:r>
      <w:r w:rsidRPr="00C801A2">
        <w:rPr>
          <w:rFonts w:cstheme="minorHAnsi"/>
          <w:bCs/>
          <w:iCs/>
        </w:rPr>
        <w:t xml:space="preserve"> then recalculated and compared with the NDIS profile.</w:t>
      </w:r>
    </w:p>
    <w:p w14:paraId="249101C1" w14:textId="134509F4" w:rsidR="002956A6" w:rsidRPr="00C801A2" w:rsidRDefault="00190638" w:rsidP="00C801A2">
      <w:pPr>
        <w:pStyle w:val="ListParagraph"/>
        <w:numPr>
          <w:ilvl w:val="0"/>
          <w:numId w:val="25"/>
        </w:numPr>
        <w:rPr>
          <w:rFonts w:cstheme="minorHAnsi"/>
          <w:bCs/>
          <w:iCs/>
        </w:rPr>
      </w:pPr>
      <w:r w:rsidRPr="00C801A2">
        <w:rPr>
          <w:rFonts w:cstheme="minorHAnsi"/>
          <w:bCs/>
          <w:iCs/>
        </w:rPr>
        <w:t>In simple terms, age standardisation tells us what the male to female ratio of the SDAC Tier 3 population would be if 41% of t</w:t>
      </w:r>
      <w:r w:rsidR="00F66392" w:rsidRPr="00C801A2">
        <w:rPr>
          <w:rFonts w:cstheme="minorHAnsi"/>
          <w:bCs/>
          <w:iCs/>
        </w:rPr>
        <w:t>he group was aged 0 to 14 years. This provides</w:t>
      </w:r>
      <w:r w:rsidRPr="00C801A2">
        <w:rPr>
          <w:rFonts w:cstheme="minorHAnsi"/>
          <w:bCs/>
          <w:iCs/>
        </w:rPr>
        <w:t xml:space="preserve"> a more direct comparison with the NDIS male to female ratio.</w:t>
      </w:r>
    </w:p>
    <w:p w14:paraId="3E0B54A7" w14:textId="77777777" w:rsidR="00C801A2" w:rsidRDefault="00C801A2" w:rsidP="005619EB">
      <w:pPr>
        <w:rPr>
          <w:rFonts w:asciiTheme="majorHAnsi" w:hAnsiTheme="majorHAnsi" w:cstheme="majorHAnsi"/>
          <w:sz w:val="24"/>
        </w:rPr>
      </w:pPr>
    </w:p>
    <w:p w14:paraId="5A9B9F98" w14:textId="08F51AA1" w:rsidR="005619EB" w:rsidRPr="00DA29E2" w:rsidRDefault="005619EB" w:rsidP="005619EB">
      <w:pPr>
        <w:rPr>
          <w:rFonts w:asciiTheme="majorHAnsi" w:hAnsiTheme="majorHAnsi" w:cstheme="majorHAnsi"/>
          <w:sz w:val="24"/>
        </w:rPr>
      </w:pPr>
      <w:r w:rsidRPr="00DA29E2">
        <w:rPr>
          <w:rFonts w:asciiTheme="majorHAnsi" w:hAnsiTheme="majorHAnsi" w:cstheme="majorHAnsi"/>
          <w:sz w:val="24"/>
        </w:rPr>
        <w:t>Page 10</w:t>
      </w:r>
      <w:r w:rsidR="00FB64F4" w:rsidRPr="00DA29E2">
        <w:rPr>
          <w:rFonts w:asciiTheme="majorHAnsi" w:hAnsiTheme="majorHAnsi" w:cstheme="majorHAnsi"/>
          <w:sz w:val="24"/>
        </w:rPr>
        <w:t xml:space="preserve"> - </w:t>
      </w:r>
      <w:r w:rsidR="00FB64F4" w:rsidRPr="00DA29E2">
        <w:rPr>
          <w:rFonts w:asciiTheme="majorHAnsi" w:hAnsiTheme="majorHAnsi" w:cstheme="majorHAnsi"/>
          <w:bCs/>
          <w:sz w:val="24"/>
        </w:rPr>
        <w:t>Male to female ratios standardised for age</w:t>
      </w:r>
    </w:p>
    <w:p w14:paraId="1EC59007" w14:textId="108B54BE" w:rsidR="00660B30" w:rsidRPr="00DA29E2" w:rsidRDefault="00660B30" w:rsidP="00660B30">
      <w:pPr>
        <w:rPr>
          <w:rFonts w:cstheme="minorHAnsi"/>
        </w:rPr>
      </w:pPr>
      <w:r w:rsidRPr="00DA29E2">
        <w:rPr>
          <w:rFonts w:cstheme="minorHAnsi"/>
        </w:rPr>
        <w:t xml:space="preserve">A chart, labelled as Figure 3, shows the male-to-female ratio for the NDIS population and the SDAC Tier 3 population, before and after age standardisation. After standardising to the NDIS age distribution, the ratio of males to females in SDAC Tier 3 population increases from </w:t>
      </w:r>
      <w:r w:rsidRPr="00DA29E2">
        <w:rPr>
          <w:rFonts w:cstheme="minorHAnsi"/>
          <w:bCs/>
        </w:rPr>
        <w:t>1.45</w:t>
      </w:r>
      <w:r w:rsidRPr="00DA29E2">
        <w:rPr>
          <w:rFonts w:cstheme="minorHAnsi"/>
        </w:rPr>
        <w:t xml:space="preserve"> to </w:t>
      </w:r>
      <w:r w:rsidRPr="00DA29E2">
        <w:rPr>
          <w:rFonts w:cstheme="minorHAnsi"/>
          <w:bCs/>
        </w:rPr>
        <w:t>1.61</w:t>
      </w:r>
      <w:r w:rsidRPr="00DA29E2">
        <w:rPr>
          <w:rFonts w:cstheme="minorHAnsi"/>
        </w:rPr>
        <w:t>. This confirms that there is a strong relationship between gender and age mix.</w:t>
      </w:r>
    </w:p>
    <w:p w14:paraId="4C3EAA81" w14:textId="2A0C1013" w:rsidR="00786DB5" w:rsidRPr="00DA29E2" w:rsidRDefault="00786DB5" w:rsidP="00660B30">
      <w:pPr>
        <w:rPr>
          <w:rFonts w:cstheme="minorHAnsi"/>
        </w:rPr>
      </w:pPr>
      <w:r w:rsidRPr="00DA29E2">
        <w:rPr>
          <w:rFonts w:cstheme="minorHAnsi"/>
        </w:rPr>
        <w:t xml:space="preserve">Figure 3 shows that the age-standardised male to female ratio of 1.61 for the SDAC Tier 3 population is close to the NDIS ratio of 1.70. The remaining discrepancy has not been investigated. However, it is important to note that the eligibility criteria of the NDIS is similar but not identical to the Tier 3 definition and so differences between the populations are to be expected, including the gender mix. </w:t>
      </w:r>
    </w:p>
    <w:p w14:paraId="59A6D02B" w14:textId="0D786422" w:rsidR="00786DB5" w:rsidRPr="00A96DBD" w:rsidRDefault="00786DB5" w:rsidP="00786DB5">
      <w:pPr>
        <w:rPr>
          <w:rFonts w:cstheme="minorHAnsi"/>
          <w:bCs/>
          <w:i/>
          <w:iCs/>
          <w:sz w:val="20"/>
        </w:rPr>
      </w:pPr>
      <w:r w:rsidRPr="00DA29E2">
        <w:rPr>
          <w:rFonts w:cstheme="minorHAnsi"/>
          <w:bCs/>
          <w:iCs/>
        </w:rPr>
        <w:t>In summary, the results of this analysis indicate that the high male to female ratio across NDIS participants is due to the relatively high proportion of children entering the Scheme. The most common disability types at younger ages are autism</w:t>
      </w:r>
      <w:r w:rsidR="001238DC">
        <w:rPr>
          <w:rFonts w:cstheme="minorHAnsi"/>
          <w:bCs/>
          <w:iCs/>
        </w:rPr>
        <w:t xml:space="preserve"> and </w:t>
      </w:r>
      <w:r w:rsidRPr="00DA29E2">
        <w:rPr>
          <w:rFonts w:cstheme="minorHAnsi"/>
          <w:bCs/>
          <w:iCs/>
        </w:rPr>
        <w:t>developmental delay</w:t>
      </w:r>
      <w:r w:rsidR="001238DC">
        <w:rPr>
          <w:rFonts w:cstheme="minorHAnsi"/>
          <w:bCs/>
          <w:iCs/>
        </w:rPr>
        <w:t>,</w:t>
      </w:r>
      <w:r w:rsidRPr="00DA29E2">
        <w:rPr>
          <w:rFonts w:cstheme="minorHAnsi"/>
          <w:bCs/>
          <w:iCs/>
        </w:rPr>
        <w:t xml:space="preserve"> which are far more prevalent in males than females</w:t>
      </w:r>
      <w:r w:rsidRPr="00A96DBD">
        <w:rPr>
          <w:rFonts w:cstheme="minorHAnsi"/>
          <w:bCs/>
          <w:i/>
          <w:iCs/>
          <w:sz w:val="20"/>
        </w:rPr>
        <w:t xml:space="preserve">. </w:t>
      </w:r>
    </w:p>
    <w:p w14:paraId="5387E960" w14:textId="77777777" w:rsidR="00C801A2" w:rsidRDefault="00C801A2" w:rsidP="00786DB5">
      <w:pPr>
        <w:rPr>
          <w:rFonts w:asciiTheme="majorHAnsi" w:hAnsiTheme="majorHAnsi" w:cstheme="majorHAnsi"/>
          <w:bCs/>
          <w:iCs/>
          <w:sz w:val="24"/>
        </w:rPr>
      </w:pPr>
    </w:p>
    <w:p w14:paraId="6A983CC5" w14:textId="53BB4D0E" w:rsidR="00A25748" w:rsidRPr="00DA29E2" w:rsidRDefault="00A25748" w:rsidP="00786DB5">
      <w:pPr>
        <w:rPr>
          <w:rFonts w:asciiTheme="majorHAnsi" w:hAnsiTheme="majorHAnsi" w:cstheme="majorHAnsi"/>
          <w:bCs/>
          <w:iCs/>
          <w:sz w:val="24"/>
        </w:rPr>
      </w:pPr>
      <w:r w:rsidRPr="00DA29E2">
        <w:rPr>
          <w:rFonts w:asciiTheme="majorHAnsi" w:hAnsiTheme="majorHAnsi" w:cstheme="majorHAnsi"/>
          <w:bCs/>
          <w:iCs/>
          <w:sz w:val="24"/>
        </w:rPr>
        <w:t>Page 11</w:t>
      </w:r>
      <w:r w:rsidR="00DA29E2" w:rsidRPr="00DA29E2">
        <w:rPr>
          <w:rFonts w:asciiTheme="majorHAnsi" w:hAnsiTheme="majorHAnsi" w:cstheme="majorHAnsi"/>
          <w:bCs/>
          <w:iCs/>
          <w:sz w:val="24"/>
        </w:rPr>
        <w:t xml:space="preserve"> - Appendix – detailed results (1)</w:t>
      </w:r>
    </w:p>
    <w:p w14:paraId="65C35B9B" w14:textId="5F1883A1" w:rsidR="00225FB6" w:rsidRPr="00DA29E2" w:rsidRDefault="00225FB6" w:rsidP="00225FB6">
      <w:pPr>
        <w:rPr>
          <w:rFonts w:cstheme="minorHAnsi"/>
          <w:bCs/>
          <w:iCs/>
        </w:rPr>
      </w:pPr>
      <w:r w:rsidRPr="00DA29E2">
        <w:rPr>
          <w:rFonts w:cstheme="minorHAnsi"/>
          <w:bCs/>
          <w:iCs/>
        </w:rPr>
        <w:t>In the detailed results in the following 5 pages, the NDIS population is compared with the general population as well as three distinct population groups available from the 2015 Survey of Disability and Aged Care, known as SDAC.</w:t>
      </w:r>
    </w:p>
    <w:p w14:paraId="129E3D00" w14:textId="1B1974AE" w:rsidR="00225FB6" w:rsidRPr="00DA29E2" w:rsidRDefault="00225FB6" w:rsidP="00C801A2">
      <w:pPr>
        <w:pStyle w:val="ListParagraph"/>
        <w:numPr>
          <w:ilvl w:val="0"/>
          <w:numId w:val="25"/>
        </w:numPr>
        <w:rPr>
          <w:rFonts w:cstheme="minorHAnsi"/>
          <w:bCs/>
          <w:iCs/>
        </w:rPr>
      </w:pPr>
      <w:r w:rsidRPr="00DA29E2">
        <w:rPr>
          <w:rFonts w:cstheme="minorHAnsi"/>
          <w:bCs/>
          <w:iCs/>
        </w:rPr>
        <w:t>The first group is all people with a disability</w:t>
      </w:r>
    </w:p>
    <w:p w14:paraId="5B96EDDC" w14:textId="00DC330B" w:rsidR="00225FB6" w:rsidRPr="00DA29E2" w:rsidRDefault="00225FB6" w:rsidP="00C801A2">
      <w:pPr>
        <w:pStyle w:val="ListParagraph"/>
        <w:numPr>
          <w:ilvl w:val="0"/>
          <w:numId w:val="25"/>
        </w:numPr>
        <w:rPr>
          <w:rFonts w:cstheme="minorHAnsi"/>
          <w:bCs/>
          <w:iCs/>
        </w:rPr>
      </w:pPr>
      <w:r w:rsidRPr="00DA29E2">
        <w:rPr>
          <w:rFonts w:cstheme="minorHAnsi"/>
          <w:bCs/>
          <w:iCs/>
        </w:rPr>
        <w:t xml:space="preserve">The second group is people with a profound and/or severe core activity limitation only </w:t>
      </w:r>
    </w:p>
    <w:p w14:paraId="482FE7FD" w14:textId="1C99B92E" w:rsidR="00225FB6" w:rsidRPr="00DA29E2" w:rsidRDefault="00225FB6" w:rsidP="00C801A2">
      <w:pPr>
        <w:pStyle w:val="ListParagraph"/>
        <w:numPr>
          <w:ilvl w:val="0"/>
          <w:numId w:val="25"/>
        </w:numPr>
        <w:rPr>
          <w:rFonts w:cstheme="minorHAnsi"/>
          <w:bCs/>
          <w:iCs/>
        </w:rPr>
      </w:pPr>
      <w:r w:rsidRPr="00DA29E2">
        <w:rPr>
          <w:rFonts w:cstheme="minorHAnsi"/>
          <w:bCs/>
          <w:iCs/>
        </w:rPr>
        <w:t>The third group is the “Tier 3 disability population”, which are people with significant and enduring support needs who would be eligible for individualised support.</w:t>
      </w:r>
    </w:p>
    <w:p w14:paraId="73F211B3" w14:textId="4F4DD6D5" w:rsidR="00FB4102" w:rsidRPr="00DA29E2" w:rsidRDefault="00FB4102" w:rsidP="00FB4102">
      <w:pPr>
        <w:rPr>
          <w:rFonts w:cstheme="minorHAnsi"/>
          <w:bCs/>
          <w:iCs/>
        </w:rPr>
      </w:pPr>
      <w:r w:rsidRPr="00DA29E2">
        <w:rPr>
          <w:rFonts w:cstheme="minorHAnsi"/>
          <w:bCs/>
          <w:iCs/>
        </w:rPr>
        <w:t>The SDAC Tier 3 population is most closely aligned to the eligibility criteria of the NDIS, and was used as the basis of the original Productivity Commission costings for the NDIS. Hence, it is used as the comparative disability population in the main report.</w:t>
      </w:r>
    </w:p>
    <w:p w14:paraId="4633B2AC" w14:textId="77777777" w:rsidR="00C801A2" w:rsidRDefault="00C801A2" w:rsidP="00FB4102">
      <w:pPr>
        <w:rPr>
          <w:rFonts w:asciiTheme="majorHAnsi" w:hAnsiTheme="majorHAnsi" w:cstheme="majorHAnsi"/>
          <w:bCs/>
          <w:iCs/>
          <w:sz w:val="24"/>
        </w:rPr>
      </w:pPr>
    </w:p>
    <w:p w14:paraId="78379B6B" w14:textId="2010F92B" w:rsidR="00FB4102" w:rsidRPr="00DA29E2" w:rsidRDefault="003929A7" w:rsidP="00FB4102">
      <w:pPr>
        <w:rPr>
          <w:rFonts w:asciiTheme="majorHAnsi" w:hAnsiTheme="majorHAnsi" w:cstheme="majorHAnsi"/>
          <w:bCs/>
          <w:iCs/>
          <w:sz w:val="24"/>
        </w:rPr>
      </w:pPr>
      <w:r w:rsidRPr="00DA29E2">
        <w:rPr>
          <w:rFonts w:asciiTheme="majorHAnsi" w:hAnsiTheme="majorHAnsi" w:cstheme="majorHAnsi"/>
          <w:bCs/>
          <w:iCs/>
          <w:sz w:val="24"/>
        </w:rPr>
        <w:t>Page 12</w:t>
      </w:r>
      <w:r w:rsidR="00DA29E2" w:rsidRPr="00DA29E2">
        <w:rPr>
          <w:rFonts w:asciiTheme="majorHAnsi" w:hAnsiTheme="majorHAnsi" w:cstheme="majorHAnsi"/>
          <w:bCs/>
          <w:iCs/>
          <w:sz w:val="24"/>
        </w:rPr>
        <w:t xml:space="preserve"> - Appendix – detailed results (2)</w:t>
      </w:r>
    </w:p>
    <w:p w14:paraId="1118F2B4" w14:textId="71383D30" w:rsidR="003929A7" w:rsidRDefault="003929A7" w:rsidP="00FB4102">
      <w:pPr>
        <w:rPr>
          <w:rFonts w:cstheme="minorHAnsi"/>
          <w:bCs/>
          <w:iCs/>
        </w:rPr>
      </w:pPr>
      <w:r w:rsidRPr="00DA29E2">
        <w:rPr>
          <w:rFonts w:cstheme="minorHAnsi"/>
          <w:bCs/>
          <w:iCs/>
        </w:rPr>
        <w:t>A chart</w:t>
      </w:r>
      <w:r w:rsidR="00F50843" w:rsidRPr="00DA29E2">
        <w:rPr>
          <w:rFonts w:cstheme="minorHAnsi"/>
          <w:bCs/>
          <w:iCs/>
        </w:rPr>
        <w:t xml:space="preserve"> labelled Figure 4</w:t>
      </w:r>
      <w:r w:rsidRPr="00DA29E2">
        <w:rPr>
          <w:rFonts w:cstheme="minorHAnsi"/>
          <w:bCs/>
          <w:iCs/>
        </w:rPr>
        <w:t xml:space="preserve"> shows the gender distribution of the NDIS population, including those under 65 and excluding those of indeterminate gender, as compared to the general and SDAC population. </w:t>
      </w:r>
      <w:r w:rsidR="004E15E1">
        <w:rPr>
          <w:rFonts w:cstheme="minorHAnsi"/>
          <w:bCs/>
          <w:iCs/>
        </w:rPr>
        <w:t>The figures are as follows:</w:t>
      </w:r>
    </w:p>
    <w:p w14:paraId="15903F98" w14:textId="2DC0D9A2" w:rsidR="004E15E1" w:rsidRDefault="00D8762E" w:rsidP="004E15E1">
      <w:pPr>
        <w:pStyle w:val="ListParagraph"/>
        <w:numPr>
          <w:ilvl w:val="0"/>
          <w:numId w:val="25"/>
        </w:numPr>
        <w:rPr>
          <w:rFonts w:cstheme="minorHAnsi"/>
          <w:bCs/>
          <w:iCs/>
        </w:rPr>
      </w:pPr>
      <w:r>
        <w:rPr>
          <w:rFonts w:cstheme="minorHAnsi"/>
          <w:bCs/>
          <w:iCs/>
        </w:rPr>
        <w:lastRenderedPageBreak/>
        <w:t>Of</w:t>
      </w:r>
      <w:r w:rsidR="004E15E1">
        <w:rPr>
          <w:rFonts w:cstheme="minorHAnsi"/>
          <w:bCs/>
          <w:iCs/>
        </w:rPr>
        <w:t xml:space="preserve"> the NDIS population, 63% of participants are male and 37% are female.</w:t>
      </w:r>
      <w:r w:rsidR="003C131D">
        <w:rPr>
          <w:rFonts w:cstheme="minorHAnsi"/>
          <w:bCs/>
          <w:iCs/>
        </w:rPr>
        <w:t xml:space="preserve"> 63% is the proportion of male NDIS participants after excluding participants with indeterminate gender. When those with indeterminate gender are included the proportion of males is 62%.</w:t>
      </w:r>
    </w:p>
    <w:p w14:paraId="306BA05A" w14:textId="00A39449" w:rsidR="004E15E1" w:rsidRDefault="00D8762E" w:rsidP="004E15E1">
      <w:pPr>
        <w:pStyle w:val="ListParagraph"/>
        <w:numPr>
          <w:ilvl w:val="0"/>
          <w:numId w:val="25"/>
        </w:numPr>
        <w:rPr>
          <w:rFonts w:cstheme="minorHAnsi"/>
          <w:bCs/>
          <w:iCs/>
        </w:rPr>
      </w:pPr>
      <w:r>
        <w:rPr>
          <w:rFonts w:cstheme="minorHAnsi"/>
          <w:bCs/>
          <w:iCs/>
        </w:rPr>
        <w:t>Of</w:t>
      </w:r>
      <w:r w:rsidR="004E15E1">
        <w:rPr>
          <w:rFonts w:cstheme="minorHAnsi"/>
          <w:bCs/>
          <w:iCs/>
        </w:rPr>
        <w:t xml:space="preserve"> the general population, 50% are male and 50% are female. </w:t>
      </w:r>
    </w:p>
    <w:p w14:paraId="369B9D46" w14:textId="716660CE" w:rsidR="004E15E1" w:rsidRDefault="00D8762E" w:rsidP="004E15E1">
      <w:pPr>
        <w:pStyle w:val="ListParagraph"/>
        <w:numPr>
          <w:ilvl w:val="0"/>
          <w:numId w:val="25"/>
        </w:numPr>
        <w:rPr>
          <w:rFonts w:cstheme="minorHAnsi"/>
          <w:bCs/>
          <w:iCs/>
        </w:rPr>
      </w:pPr>
      <w:r>
        <w:rPr>
          <w:rFonts w:cstheme="minorHAnsi"/>
          <w:bCs/>
          <w:iCs/>
        </w:rPr>
        <w:t>Of</w:t>
      </w:r>
      <w:r w:rsidR="004E15E1">
        <w:rPr>
          <w:rFonts w:cstheme="minorHAnsi"/>
          <w:bCs/>
          <w:iCs/>
        </w:rPr>
        <w:t xml:space="preserve"> the SDAC (all disability) population, 51% are male and 49% are female.</w:t>
      </w:r>
    </w:p>
    <w:p w14:paraId="300FC566" w14:textId="77777777" w:rsidR="001238DC" w:rsidRDefault="00D8762E" w:rsidP="001238DC">
      <w:pPr>
        <w:pStyle w:val="ListParagraph"/>
        <w:numPr>
          <w:ilvl w:val="0"/>
          <w:numId w:val="25"/>
        </w:numPr>
        <w:rPr>
          <w:rFonts w:cstheme="minorHAnsi"/>
          <w:bCs/>
          <w:iCs/>
        </w:rPr>
      </w:pPr>
      <w:r>
        <w:rPr>
          <w:rFonts w:cstheme="minorHAnsi"/>
          <w:bCs/>
          <w:iCs/>
        </w:rPr>
        <w:t>Of</w:t>
      </w:r>
      <w:r w:rsidR="004E15E1">
        <w:rPr>
          <w:rFonts w:cstheme="minorHAnsi"/>
          <w:bCs/>
          <w:iCs/>
        </w:rPr>
        <w:t xml:space="preserve"> the SDAC (profound and severe limitations only) population, 52% are male and 48% are female.</w:t>
      </w:r>
      <w:r w:rsidR="001238DC" w:rsidRPr="001238DC">
        <w:rPr>
          <w:rFonts w:cstheme="minorHAnsi"/>
          <w:bCs/>
          <w:iCs/>
        </w:rPr>
        <w:t xml:space="preserve"> </w:t>
      </w:r>
    </w:p>
    <w:p w14:paraId="4183A963" w14:textId="33CDC9F0" w:rsidR="004E15E1" w:rsidRPr="001238DC" w:rsidRDefault="001238DC" w:rsidP="001238DC">
      <w:pPr>
        <w:pStyle w:val="ListParagraph"/>
        <w:numPr>
          <w:ilvl w:val="0"/>
          <w:numId w:val="25"/>
        </w:numPr>
        <w:rPr>
          <w:rFonts w:cstheme="minorHAnsi"/>
          <w:bCs/>
          <w:iCs/>
        </w:rPr>
      </w:pPr>
      <w:r>
        <w:rPr>
          <w:rFonts w:cstheme="minorHAnsi"/>
          <w:bCs/>
          <w:iCs/>
        </w:rPr>
        <w:t>Of the SDAC (Tier 3) population, 59% are male and 41% are female.</w:t>
      </w:r>
    </w:p>
    <w:p w14:paraId="4CFBABA4" w14:textId="77777777" w:rsidR="00C801A2" w:rsidRDefault="00C801A2" w:rsidP="00FB4102">
      <w:pPr>
        <w:rPr>
          <w:rFonts w:asciiTheme="majorHAnsi" w:hAnsiTheme="majorHAnsi" w:cstheme="majorHAnsi"/>
          <w:bCs/>
          <w:iCs/>
          <w:sz w:val="24"/>
        </w:rPr>
      </w:pPr>
    </w:p>
    <w:p w14:paraId="7E7ADD2E" w14:textId="485A5856" w:rsidR="00463437" w:rsidRPr="00DA29E2" w:rsidRDefault="00463437" w:rsidP="00FB4102">
      <w:pPr>
        <w:rPr>
          <w:rFonts w:asciiTheme="majorHAnsi" w:hAnsiTheme="majorHAnsi" w:cstheme="majorHAnsi"/>
          <w:bCs/>
          <w:iCs/>
          <w:sz w:val="24"/>
        </w:rPr>
      </w:pPr>
      <w:r w:rsidRPr="00DA29E2">
        <w:rPr>
          <w:rFonts w:asciiTheme="majorHAnsi" w:hAnsiTheme="majorHAnsi" w:cstheme="majorHAnsi"/>
          <w:bCs/>
          <w:iCs/>
          <w:sz w:val="24"/>
        </w:rPr>
        <w:t>Page 13</w:t>
      </w:r>
      <w:r w:rsidR="00DA29E2" w:rsidRPr="00DA29E2">
        <w:rPr>
          <w:rFonts w:asciiTheme="majorHAnsi" w:hAnsiTheme="majorHAnsi" w:cstheme="majorHAnsi"/>
          <w:bCs/>
          <w:iCs/>
          <w:sz w:val="24"/>
        </w:rPr>
        <w:t xml:space="preserve"> - Appendix – detailed results (3)</w:t>
      </w:r>
    </w:p>
    <w:p w14:paraId="5B7F5C1F" w14:textId="36033622" w:rsidR="00463437" w:rsidRPr="00DA29E2" w:rsidRDefault="00250595" w:rsidP="00FB4102">
      <w:pPr>
        <w:rPr>
          <w:rFonts w:cstheme="minorHAnsi"/>
          <w:bCs/>
          <w:iCs/>
        </w:rPr>
      </w:pPr>
      <w:r w:rsidRPr="00DA29E2">
        <w:rPr>
          <w:rFonts w:cstheme="minorHAnsi"/>
          <w:bCs/>
          <w:iCs/>
        </w:rPr>
        <w:t>Figure 5 shows the age distribution of the NDIS population, including those under 65 and excluding those of indeterminate gender, as compared to the general and SDAC population.</w:t>
      </w:r>
    </w:p>
    <w:p w14:paraId="7C92977B" w14:textId="4FEDDD77" w:rsidR="00E4727E" w:rsidRPr="00DA29E2" w:rsidRDefault="0011067A" w:rsidP="00FB4102">
      <w:pPr>
        <w:rPr>
          <w:rFonts w:cstheme="minorHAnsi"/>
          <w:bCs/>
          <w:iCs/>
        </w:rPr>
      </w:pPr>
      <w:r w:rsidRPr="00DA29E2">
        <w:rPr>
          <w:rFonts w:cstheme="minorHAnsi"/>
          <w:bCs/>
          <w:iCs/>
        </w:rPr>
        <w:t>The chart shows that for the NDIS population</w:t>
      </w:r>
      <w:r w:rsidR="00E4727E" w:rsidRPr="00DA29E2">
        <w:rPr>
          <w:rFonts w:cstheme="minorHAnsi"/>
          <w:bCs/>
          <w:iCs/>
        </w:rPr>
        <w:t xml:space="preserve"> and the SDAC Tier 3 population</w:t>
      </w:r>
      <w:r w:rsidRPr="00DA29E2">
        <w:rPr>
          <w:rFonts w:cstheme="minorHAnsi"/>
          <w:bCs/>
          <w:iCs/>
        </w:rPr>
        <w:t xml:space="preserve">, the </w:t>
      </w:r>
      <w:r w:rsidR="00FD3F17" w:rsidRPr="00DA29E2">
        <w:rPr>
          <w:rFonts w:cstheme="minorHAnsi"/>
          <w:bCs/>
          <w:iCs/>
        </w:rPr>
        <w:t xml:space="preserve">highest percentage of people are aged 7 to 14. Amongst the general population, the 25 to 34 age band has the highest percentage of people. </w:t>
      </w:r>
      <w:r w:rsidR="00E4727E" w:rsidRPr="00DA29E2">
        <w:rPr>
          <w:rFonts w:cstheme="minorHAnsi"/>
          <w:bCs/>
          <w:iCs/>
        </w:rPr>
        <w:t>For the SDAC (all disability) and SDAC (profound and severe limitations only) categories, the highest percentage of people lie in the 55 to 64 age band.</w:t>
      </w:r>
    </w:p>
    <w:p w14:paraId="59291D23" w14:textId="77777777" w:rsidR="00C801A2" w:rsidRDefault="00C801A2" w:rsidP="00FB4102">
      <w:pPr>
        <w:rPr>
          <w:rFonts w:asciiTheme="majorHAnsi" w:hAnsiTheme="majorHAnsi" w:cstheme="majorHAnsi"/>
          <w:bCs/>
          <w:iCs/>
          <w:sz w:val="24"/>
        </w:rPr>
      </w:pPr>
    </w:p>
    <w:p w14:paraId="7355EC3A" w14:textId="6DF48898" w:rsidR="00E17CC3" w:rsidRPr="00DA29E2" w:rsidRDefault="00E17CC3" w:rsidP="00FB4102">
      <w:pPr>
        <w:rPr>
          <w:rFonts w:asciiTheme="majorHAnsi" w:hAnsiTheme="majorHAnsi" w:cstheme="majorHAnsi"/>
          <w:bCs/>
          <w:iCs/>
          <w:sz w:val="24"/>
        </w:rPr>
      </w:pPr>
      <w:r w:rsidRPr="00DA29E2">
        <w:rPr>
          <w:rFonts w:asciiTheme="majorHAnsi" w:hAnsiTheme="majorHAnsi" w:cstheme="majorHAnsi"/>
          <w:bCs/>
          <w:iCs/>
          <w:sz w:val="24"/>
        </w:rPr>
        <w:t>Page 14</w:t>
      </w:r>
      <w:r w:rsidR="00DA29E2" w:rsidRPr="00DA29E2">
        <w:rPr>
          <w:rFonts w:asciiTheme="majorHAnsi" w:hAnsiTheme="majorHAnsi" w:cstheme="majorHAnsi"/>
          <w:bCs/>
          <w:iCs/>
          <w:sz w:val="24"/>
        </w:rPr>
        <w:t xml:space="preserve"> - Appendix – detailed results (4)</w:t>
      </w:r>
    </w:p>
    <w:p w14:paraId="1CFAE29C" w14:textId="00830244" w:rsidR="00E17CC3" w:rsidRPr="00DA29E2" w:rsidRDefault="00E17CC3" w:rsidP="00FB4102">
      <w:pPr>
        <w:rPr>
          <w:rFonts w:cstheme="majorHAnsi"/>
          <w:bCs/>
          <w:iCs/>
        </w:rPr>
      </w:pPr>
      <w:r w:rsidRPr="00DA29E2">
        <w:rPr>
          <w:rFonts w:cstheme="majorHAnsi"/>
          <w:bCs/>
          <w:iCs/>
        </w:rPr>
        <w:t xml:space="preserve">This page features 2 tables. The table on the left, labelled Figure 6, shows the </w:t>
      </w:r>
      <w:r w:rsidR="000E180B" w:rsidRPr="00DA29E2">
        <w:rPr>
          <w:rFonts w:cstheme="majorHAnsi"/>
          <w:bCs/>
          <w:iCs/>
        </w:rPr>
        <w:t xml:space="preserve">distribution of the NDIS population (excluding those of indeterminate gender) by disability and gender. </w:t>
      </w:r>
      <w:r w:rsidR="00B52286" w:rsidRPr="00DA29E2">
        <w:rPr>
          <w:rFonts w:cstheme="majorHAnsi"/>
          <w:bCs/>
          <w:iCs/>
        </w:rPr>
        <w:t xml:space="preserve">The table shows that </w:t>
      </w:r>
      <w:r w:rsidR="004639DA" w:rsidRPr="00DA29E2">
        <w:rPr>
          <w:rFonts w:cstheme="majorHAnsi"/>
          <w:bCs/>
          <w:iCs/>
        </w:rPr>
        <w:t xml:space="preserve">Autism makes up the highest proportion of the NDIS population at 32%, and has the highest male to female ratio at 3.23. </w:t>
      </w:r>
      <w:r w:rsidR="004E0E16" w:rsidRPr="00DA29E2">
        <w:rPr>
          <w:rFonts w:cstheme="majorHAnsi"/>
          <w:bCs/>
          <w:iCs/>
        </w:rPr>
        <w:t xml:space="preserve">Intellectual disability makes up the second highest proportion of the NDIS population at 20%. </w:t>
      </w:r>
    </w:p>
    <w:p w14:paraId="03E6CF2B" w14:textId="78C8DDE4" w:rsidR="00A96DBD" w:rsidRPr="00DA29E2" w:rsidRDefault="009A6FF0" w:rsidP="00FB4102">
      <w:pPr>
        <w:rPr>
          <w:rFonts w:cstheme="minorHAnsi"/>
          <w:bCs/>
          <w:iCs/>
        </w:rPr>
      </w:pPr>
      <w:r w:rsidRPr="00DA29E2">
        <w:rPr>
          <w:rFonts w:cstheme="minorHAnsi"/>
          <w:bCs/>
          <w:iCs/>
        </w:rPr>
        <w:t xml:space="preserve">The table on the right, labelled Figure 7, shows the distribution of the SDAC population (all disability) by disability and gender. </w:t>
      </w:r>
      <w:r w:rsidR="004639DA" w:rsidRPr="00DA29E2">
        <w:rPr>
          <w:rFonts w:cstheme="minorHAnsi"/>
          <w:bCs/>
          <w:iCs/>
        </w:rPr>
        <w:t xml:space="preserve">The table shows that Autism has the highest male to female ratio at 4.26. Note that Intellectual Disability as reported in SDAC data includes developmental delay and global developmental delay </w:t>
      </w:r>
      <w:r w:rsidR="003A42B2" w:rsidRPr="00DA29E2">
        <w:rPr>
          <w:rFonts w:cstheme="minorHAnsi"/>
          <w:bCs/>
          <w:iCs/>
        </w:rPr>
        <w:t>as well as Down syndrome.</w:t>
      </w:r>
    </w:p>
    <w:p w14:paraId="21A77739" w14:textId="77777777" w:rsidR="00C801A2" w:rsidRDefault="00C801A2" w:rsidP="00FB4102">
      <w:pPr>
        <w:rPr>
          <w:rFonts w:asciiTheme="majorHAnsi" w:hAnsiTheme="majorHAnsi" w:cstheme="minorHAnsi"/>
          <w:bCs/>
          <w:iCs/>
          <w:sz w:val="24"/>
        </w:rPr>
      </w:pPr>
    </w:p>
    <w:p w14:paraId="7FBB45B0" w14:textId="194FB38A" w:rsidR="00C66635" w:rsidRPr="00DA29E2" w:rsidRDefault="00DA29E2" w:rsidP="00FB4102">
      <w:pPr>
        <w:rPr>
          <w:rFonts w:asciiTheme="majorHAnsi" w:hAnsiTheme="majorHAnsi" w:cstheme="minorHAnsi"/>
          <w:bCs/>
          <w:iCs/>
          <w:sz w:val="24"/>
        </w:rPr>
      </w:pPr>
      <w:r w:rsidRPr="00DA29E2">
        <w:rPr>
          <w:rFonts w:asciiTheme="majorHAnsi" w:hAnsiTheme="majorHAnsi" w:cstheme="minorHAnsi"/>
          <w:bCs/>
          <w:iCs/>
          <w:sz w:val="24"/>
        </w:rPr>
        <w:t>Page 15 - Appendix - detailed results (5)</w:t>
      </w:r>
    </w:p>
    <w:p w14:paraId="019AD183" w14:textId="38D6A9E0" w:rsidR="00C66635" w:rsidRPr="00DA29E2" w:rsidRDefault="00C66635" w:rsidP="00FB4102">
      <w:pPr>
        <w:rPr>
          <w:rFonts w:cstheme="minorHAnsi"/>
          <w:bCs/>
          <w:iCs/>
        </w:rPr>
      </w:pPr>
      <w:r w:rsidRPr="00DA29E2">
        <w:rPr>
          <w:rFonts w:cstheme="minorHAnsi"/>
          <w:bCs/>
          <w:iCs/>
        </w:rPr>
        <w:t xml:space="preserve">There are 2 tables on this page. Figure 8 on the left shows the distribution of the SDAC (profound and severe) population by disability and gender. Other Sensory/speech disabilities have the highest male to female ratio at 3.84, </w:t>
      </w:r>
      <w:r w:rsidR="00187459">
        <w:rPr>
          <w:rFonts w:cstheme="minorHAnsi"/>
          <w:bCs/>
          <w:iCs/>
        </w:rPr>
        <w:t>followed by S</w:t>
      </w:r>
      <w:r w:rsidR="00753869">
        <w:rPr>
          <w:rFonts w:cstheme="minorHAnsi"/>
          <w:bCs/>
          <w:iCs/>
        </w:rPr>
        <w:t xml:space="preserve">troke at 3.77 and Autism at 3.49. </w:t>
      </w:r>
    </w:p>
    <w:p w14:paraId="737DB91D" w14:textId="114B61B1" w:rsidR="00B05EBB" w:rsidRPr="00DA29E2" w:rsidRDefault="00B05EBB" w:rsidP="00FB4102">
      <w:pPr>
        <w:rPr>
          <w:rFonts w:cstheme="minorHAnsi"/>
          <w:bCs/>
          <w:iCs/>
        </w:rPr>
      </w:pPr>
      <w:r w:rsidRPr="00DA29E2">
        <w:rPr>
          <w:rFonts w:cstheme="minorHAnsi"/>
          <w:bCs/>
          <w:iCs/>
        </w:rPr>
        <w:t xml:space="preserve">Figure 9 on the right shows the distribution of the SDAC Tier 3 population by disability and gender. </w:t>
      </w:r>
      <w:r w:rsidR="00187459" w:rsidRPr="00DA29E2">
        <w:rPr>
          <w:rFonts w:cstheme="minorHAnsi"/>
          <w:bCs/>
          <w:iCs/>
        </w:rPr>
        <w:t xml:space="preserve">Other Sensory/speech disabilities have the highest male to female ratio </w:t>
      </w:r>
      <w:r w:rsidR="00187459">
        <w:rPr>
          <w:rFonts w:cstheme="minorHAnsi"/>
          <w:bCs/>
          <w:iCs/>
        </w:rPr>
        <w:t>at 4.53</w:t>
      </w:r>
      <w:r w:rsidR="00B16B42">
        <w:rPr>
          <w:rFonts w:cstheme="minorHAnsi"/>
          <w:bCs/>
          <w:iCs/>
        </w:rPr>
        <w:t>,</w:t>
      </w:r>
      <w:r w:rsidR="00187459">
        <w:rPr>
          <w:rFonts w:cstheme="minorHAnsi"/>
          <w:bCs/>
          <w:iCs/>
        </w:rPr>
        <w:t xml:space="preserve"> followed by A</w:t>
      </w:r>
      <w:r w:rsidRPr="00DA29E2">
        <w:rPr>
          <w:rFonts w:cstheme="minorHAnsi"/>
          <w:bCs/>
          <w:iCs/>
        </w:rPr>
        <w:t xml:space="preserve">utism </w:t>
      </w:r>
      <w:r w:rsidR="00187459">
        <w:rPr>
          <w:rFonts w:cstheme="minorHAnsi"/>
          <w:bCs/>
          <w:iCs/>
        </w:rPr>
        <w:t>at 4.25 and Stroke at 2.07.</w:t>
      </w:r>
    </w:p>
    <w:p w14:paraId="72878409" w14:textId="77777777" w:rsidR="00C801A2" w:rsidRDefault="00C801A2" w:rsidP="00FB4102">
      <w:pPr>
        <w:rPr>
          <w:rFonts w:asciiTheme="majorHAnsi" w:hAnsiTheme="majorHAnsi" w:cstheme="minorHAnsi"/>
          <w:bCs/>
          <w:iCs/>
          <w:sz w:val="24"/>
        </w:rPr>
      </w:pPr>
    </w:p>
    <w:p w14:paraId="46D8FE56" w14:textId="30958120" w:rsidR="00A54271" w:rsidRPr="00DA29E2" w:rsidRDefault="00DA29E2" w:rsidP="00FB4102">
      <w:pPr>
        <w:rPr>
          <w:rFonts w:asciiTheme="majorHAnsi" w:hAnsiTheme="majorHAnsi" w:cstheme="minorHAnsi"/>
          <w:bCs/>
          <w:iCs/>
          <w:sz w:val="24"/>
        </w:rPr>
      </w:pPr>
      <w:r w:rsidRPr="00DA29E2">
        <w:rPr>
          <w:rFonts w:asciiTheme="majorHAnsi" w:hAnsiTheme="majorHAnsi" w:cstheme="minorHAnsi"/>
          <w:bCs/>
          <w:iCs/>
          <w:sz w:val="24"/>
        </w:rPr>
        <w:t>Page 16 - Appendix – detailed results (6)</w:t>
      </w:r>
    </w:p>
    <w:p w14:paraId="298AED4B" w14:textId="3DF1E4DA" w:rsidR="00CF041F" w:rsidRDefault="00CF041F" w:rsidP="00FB4102">
      <w:pPr>
        <w:rPr>
          <w:rFonts w:cstheme="minorHAnsi"/>
          <w:bCs/>
          <w:iCs/>
        </w:rPr>
      </w:pPr>
      <w:r w:rsidRPr="00DA29E2">
        <w:rPr>
          <w:rFonts w:cstheme="minorHAnsi"/>
          <w:bCs/>
          <w:iCs/>
        </w:rPr>
        <w:t xml:space="preserve">A chart labelled Figure 10 shows the male to female ratios by age groups and before and after standardisation. </w:t>
      </w:r>
    </w:p>
    <w:p w14:paraId="03E55884" w14:textId="5A69D5D8" w:rsidR="00BF490D" w:rsidRDefault="00BF490D" w:rsidP="00BF490D">
      <w:pPr>
        <w:pStyle w:val="ListParagraph"/>
        <w:numPr>
          <w:ilvl w:val="0"/>
          <w:numId w:val="24"/>
        </w:numPr>
        <w:rPr>
          <w:rFonts w:cstheme="minorHAnsi"/>
          <w:bCs/>
          <w:iCs/>
        </w:rPr>
      </w:pPr>
      <w:r>
        <w:rPr>
          <w:rFonts w:cstheme="minorHAnsi"/>
          <w:bCs/>
          <w:iCs/>
        </w:rPr>
        <w:lastRenderedPageBreak/>
        <w:t>The total male to female ratio for the NDIS population is 1.7</w:t>
      </w:r>
      <w:r w:rsidR="003C131D">
        <w:rPr>
          <w:rFonts w:cstheme="minorHAnsi"/>
          <w:bCs/>
          <w:iCs/>
        </w:rPr>
        <w:t>0</w:t>
      </w:r>
      <w:r>
        <w:rPr>
          <w:rFonts w:cstheme="minorHAnsi"/>
          <w:bCs/>
          <w:iCs/>
        </w:rPr>
        <w:t>.</w:t>
      </w:r>
    </w:p>
    <w:p w14:paraId="692780A1" w14:textId="1CA4F124" w:rsidR="00BF490D" w:rsidRDefault="00BF490D" w:rsidP="00BF490D">
      <w:pPr>
        <w:pStyle w:val="ListParagraph"/>
        <w:numPr>
          <w:ilvl w:val="0"/>
          <w:numId w:val="24"/>
        </w:numPr>
        <w:rPr>
          <w:rFonts w:cstheme="minorHAnsi"/>
          <w:bCs/>
          <w:iCs/>
        </w:rPr>
      </w:pPr>
      <w:r>
        <w:rPr>
          <w:rFonts w:cstheme="minorHAnsi"/>
          <w:bCs/>
          <w:iCs/>
        </w:rPr>
        <w:t xml:space="preserve">The total male to female ratio for the SDAC (all disability) population is 1.03 before standardisation and 1.28 after standardisation. </w:t>
      </w:r>
    </w:p>
    <w:p w14:paraId="7EC3B223" w14:textId="066F9265" w:rsidR="00BF490D" w:rsidRDefault="00BF490D" w:rsidP="00BF490D">
      <w:pPr>
        <w:pStyle w:val="ListParagraph"/>
        <w:numPr>
          <w:ilvl w:val="0"/>
          <w:numId w:val="24"/>
        </w:numPr>
        <w:rPr>
          <w:rFonts w:cstheme="minorHAnsi"/>
          <w:bCs/>
          <w:iCs/>
        </w:rPr>
      </w:pPr>
      <w:r>
        <w:rPr>
          <w:rFonts w:cstheme="minorHAnsi"/>
          <w:bCs/>
          <w:iCs/>
        </w:rPr>
        <w:t xml:space="preserve">The total male to female ratio for the SDAC (profound and severe limitations only) population is 1.09 before standardisation and 1.30 after standardisation. </w:t>
      </w:r>
    </w:p>
    <w:p w14:paraId="014FF154" w14:textId="5A02A672" w:rsidR="00BF490D" w:rsidRPr="00BF490D" w:rsidRDefault="00BF490D" w:rsidP="00BF490D">
      <w:pPr>
        <w:pStyle w:val="ListParagraph"/>
        <w:numPr>
          <w:ilvl w:val="0"/>
          <w:numId w:val="24"/>
        </w:numPr>
        <w:rPr>
          <w:rFonts w:cstheme="minorHAnsi"/>
          <w:bCs/>
          <w:iCs/>
        </w:rPr>
      </w:pPr>
      <w:r>
        <w:rPr>
          <w:rFonts w:cstheme="minorHAnsi"/>
          <w:bCs/>
          <w:iCs/>
        </w:rPr>
        <w:t>The total male to female ratio for the SDAC (Tier 3) population is 1.45 before standardisation and 1.61 after standardisation.</w:t>
      </w:r>
    </w:p>
    <w:p w14:paraId="56431B35" w14:textId="2540804D" w:rsidR="000B79DE" w:rsidRPr="004E407B" w:rsidRDefault="000B79DE" w:rsidP="004E407B">
      <w:pPr>
        <w:tabs>
          <w:tab w:val="left" w:pos="1039"/>
        </w:tabs>
        <w:rPr>
          <w:rFonts w:cstheme="minorHAnsi"/>
        </w:rPr>
      </w:pPr>
    </w:p>
    <w:sectPr w:rsidR="000B79DE" w:rsidRPr="004E40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8E9D7" w14:textId="77777777" w:rsidR="0076081B" w:rsidRDefault="0076081B" w:rsidP="0076081B">
      <w:pPr>
        <w:spacing w:after="0" w:line="240" w:lineRule="auto"/>
      </w:pPr>
      <w:r>
        <w:separator/>
      </w:r>
    </w:p>
  </w:endnote>
  <w:endnote w:type="continuationSeparator" w:id="0">
    <w:p w14:paraId="69208051" w14:textId="77777777" w:rsidR="0076081B" w:rsidRDefault="0076081B" w:rsidP="00760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44BC0" w14:textId="77777777" w:rsidR="0076081B" w:rsidRDefault="0076081B" w:rsidP="0076081B">
      <w:pPr>
        <w:spacing w:after="0" w:line="240" w:lineRule="auto"/>
      </w:pPr>
      <w:r>
        <w:separator/>
      </w:r>
    </w:p>
  </w:footnote>
  <w:footnote w:type="continuationSeparator" w:id="0">
    <w:p w14:paraId="5155CFF0" w14:textId="77777777" w:rsidR="0076081B" w:rsidRDefault="0076081B" w:rsidP="007608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FFC"/>
    <w:multiLevelType w:val="hybridMultilevel"/>
    <w:tmpl w:val="664CD2E4"/>
    <w:lvl w:ilvl="0" w:tplc="1D0A7F8A">
      <w:start w:val="1"/>
      <w:numFmt w:val="bullet"/>
      <w:lvlText w:val="•"/>
      <w:lvlJc w:val="left"/>
      <w:pPr>
        <w:tabs>
          <w:tab w:val="num" w:pos="720"/>
        </w:tabs>
        <w:ind w:left="720" w:hanging="360"/>
      </w:pPr>
      <w:rPr>
        <w:rFonts w:ascii="Arial" w:hAnsi="Arial" w:hint="default"/>
      </w:rPr>
    </w:lvl>
    <w:lvl w:ilvl="1" w:tplc="421C77EC" w:tentative="1">
      <w:start w:val="1"/>
      <w:numFmt w:val="bullet"/>
      <w:lvlText w:val="•"/>
      <w:lvlJc w:val="left"/>
      <w:pPr>
        <w:tabs>
          <w:tab w:val="num" w:pos="1440"/>
        </w:tabs>
        <w:ind w:left="1440" w:hanging="360"/>
      </w:pPr>
      <w:rPr>
        <w:rFonts w:ascii="Arial" w:hAnsi="Arial" w:hint="default"/>
      </w:rPr>
    </w:lvl>
    <w:lvl w:ilvl="2" w:tplc="30A8FDA6" w:tentative="1">
      <w:start w:val="1"/>
      <w:numFmt w:val="bullet"/>
      <w:lvlText w:val="•"/>
      <w:lvlJc w:val="left"/>
      <w:pPr>
        <w:tabs>
          <w:tab w:val="num" w:pos="2160"/>
        </w:tabs>
        <w:ind w:left="2160" w:hanging="360"/>
      </w:pPr>
      <w:rPr>
        <w:rFonts w:ascii="Arial" w:hAnsi="Arial" w:hint="default"/>
      </w:rPr>
    </w:lvl>
    <w:lvl w:ilvl="3" w:tplc="701A0BB2" w:tentative="1">
      <w:start w:val="1"/>
      <w:numFmt w:val="bullet"/>
      <w:lvlText w:val="•"/>
      <w:lvlJc w:val="left"/>
      <w:pPr>
        <w:tabs>
          <w:tab w:val="num" w:pos="2880"/>
        </w:tabs>
        <w:ind w:left="2880" w:hanging="360"/>
      </w:pPr>
      <w:rPr>
        <w:rFonts w:ascii="Arial" w:hAnsi="Arial" w:hint="default"/>
      </w:rPr>
    </w:lvl>
    <w:lvl w:ilvl="4" w:tplc="035679FE" w:tentative="1">
      <w:start w:val="1"/>
      <w:numFmt w:val="bullet"/>
      <w:lvlText w:val="•"/>
      <w:lvlJc w:val="left"/>
      <w:pPr>
        <w:tabs>
          <w:tab w:val="num" w:pos="3600"/>
        </w:tabs>
        <w:ind w:left="3600" w:hanging="360"/>
      </w:pPr>
      <w:rPr>
        <w:rFonts w:ascii="Arial" w:hAnsi="Arial" w:hint="default"/>
      </w:rPr>
    </w:lvl>
    <w:lvl w:ilvl="5" w:tplc="99AABA86" w:tentative="1">
      <w:start w:val="1"/>
      <w:numFmt w:val="bullet"/>
      <w:lvlText w:val="•"/>
      <w:lvlJc w:val="left"/>
      <w:pPr>
        <w:tabs>
          <w:tab w:val="num" w:pos="4320"/>
        </w:tabs>
        <w:ind w:left="4320" w:hanging="360"/>
      </w:pPr>
      <w:rPr>
        <w:rFonts w:ascii="Arial" w:hAnsi="Arial" w:hint="default"/>
      </w:rPr>
    </w:lvl>
    <w:lvl w:ilvl="6" w:tplc="5AD88E6A" w:tentative="1">
      <w:start w:val="1"/>
      <w:numFmt w:val="bullet"/>
      <w:lvlText w:val="•"/>
      <w:lvlJc w:val="left"/>
      <w:pPr>
        <w:tabs>
          <w:tab w:val="num" w:pos="5040"/>
        </w:tabs>
        <w:ind w:left="5040" w:hanging="360"/>
      </w:pPr>
      <w:rPr>
        <w:rFonts w:ascii="Arial" w:hAnsi="Arial" w:hint="default"/>
      </w:rPr>
    </w:lvl>
    <w:lvl w:ilvl="7" w:tplc="EEC20E80" w:tentative="1">
      <w:start w:val="1"/>
      <w:numFmt w:val="bullet"/>
      <w:lvlText w:val="•"/>
      <w:lvlJc w:val="left"/>
      <w:pPr>
        <w:tabs>
          <w:tab w:val="num" w:pos="5760"/>
        </w:tabs>
        <w:ind w:left="5760" w:hanging="360"/>
      </w:pPr>
      <w:rPr>
        <w:rFonts w:ascii="Arial" w:hAnsi="Arial" w:hint="default"/>
      </w:rPr>
    </w:lvl>
    <w:lvl w:ilvl="8" w:tplc="C0FAB7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6E6AA6"/>
    <w:multiLevelType w:val="hybridMultilevel"/>
    <w:tmpl w:val="52865C24"/>
    <w:lvl w:ilvl="0" w:tplc="303A9652">
      <w:start w:val="1"/>
      <w:numFmt w:val="bullet"/>
      <w:lvlText w:val="–"/>
      <w:lvlJc w:val="left"/>
      <w:pPr>
        <w:tabs>
          <w:tab w:val="num" w:pos="720"/>
        </w:tabs>
        <w:ind w:left="720" w:hanging="360"/>
      </w:pPr>
      <w:rPr>
        <w:rFonts w:ascii="Arial" w:hAnsi="Arial" w:hint="default"/>
      </w:rPr>
    </w:lvl>
    <w:lvl w:ilvl="1" w:tplc="629A441A">
      <w:start w:val="1"/>
      <w:numFmt w:val="bullet"/>
      <w:lvlText w:val="–"/>
      <w:lvlJc w:val="left"/>
      <w:pPr>
        <w:tabs>
          <w:tab w:val="num" w:pos="1440"/>
        </w:tabs>
        <w:ind w:left="1440" w:hanging="360"/>
      </w:pPr>
      <w:rPr>
        <w:rFonts w:ascii="Arial" w:hAnsi="Arial" w:hint="default"/>
      </w:rPr>
    </w:lvl>
    <w:lvl w:ilvl="2" w:tplc="1450B6B8" w:tentative="1">
      <w:start w:val="1"/>
      <w:numFmt w:val="bullet"/>
      <w:lvlText w:val="–"/>
      <w:lvlJc w:val="left"/>
      <w:pPr>
        <w:tabs>
          <w:tab w:val="num" w:pos="2160"/>
        </w:tabs>
        <w:ind w:left="2160" w:hanging="360"/>
      </w:pPr>
      <w:rPr>
        <w:rFonts w:ascii="Arial" w:hAnsi="Arial" w:hint="default"/>
      </w:rPr>
    </w:lvl>
    <w:lvl w:ilvl="3" w:tplc="318ADE54" w:tentative="1">
      <w:start w:val="1"/>
      <w:numFmt w:val="bullet"/>
      <w:lvlText w:val="–"/>
      <w:lvlJc w:val="left"/>
      <w:pPr>
        <w:tabs>
          <w:tab w:val="num" w:pos="2880"/>
        </w:tabs>
        <w:ind w:left="2880" w:hanging="360"/>
      </w:pPr>
      <w:rPr>
        <w:rFonts w:ascii="Arial" w:hAnsi="Arial" w:hint="default"/>
      </w:rPr>
    </w:lvl>
    <w:lvl w:ilvl="4" w:tplc="E924D022" w:tentative="1">
      <w:start w:val="1"/>
      <w:numFmt w:val="bullet"/>
      <w:lvlText w:val="–"/>
      <w:lvlJc w:val="left"/>
      <w:pPr>
        <w:tabs>
          <w:tab w:val="num" w:pos="3600"/>
        </w:tabs>
        <w:ind w:left="3600" w:hanging="360"/>
      </w:pPr>
      <w:rPr>
        <w:rFonts w:ascii="Arial" w:hAnsi="Arial" w:hint="default"/>
      </w:rPr>
    </w:lvl>
    <w:lvl w:ilvl="5" w:tplc="688677D8" w:tentative="1">
      <w:start w:val="1"/>
      <w:numFmt w:val="bullet"/>
      <w:lvlText w:val="–"/>
      <w:lvlJc w:val="left"/>
      <w:pPr>
        <w:tabs>
          <w:tab w:val="num" w:pos="4320"/>
        </w:tabs>
        <w:ind w:left="4320" w:hanging="360"/>
      </w:pPr>
      <w:rPr>
        <w:rFonts w:ascii="Arial" w:hAnsi="Arial" w:hint="default"/>
      </w:rPr>
    </w:lvl>
    <w:lvl w:ilvl="6" w:tplc="352673E2" w:tentative="1">
      <w:start w:val="1"/>
      <w:numFmt w:val="bullet"/>
      <w:lvlText w:val="–"/>
      <w:lvlJc w:val="left"/>
      <w:pPr>
        <w:tabs>
          <w:tab w:val="num" w:pos="5040"/>
        </w:tabs>
        <w:ind w:left="5040" w:hanging="360"/>
      </w:pPr>
      <w:rPr>
        <w:rFonts w:ascii="Arial" w:hAnsi="Arial" w:hint="default"/>
      </w:rPr>
    </w:lvl>
    <w:lvl w:ilvl="7" w:tplc="176E470E" w:tentative="1">
      <w:start w:val="1"/>
      <w:numFmt w:val="bullet"/>
      <w:lvlText w:val="–"/>
      <w:lvlJc w:val="left"/>
      <w:pPr>
        <w:tabs>
          <w:tab w:val="num" w:pos="5760"/>
        </w:tabs>
        <w:ind w:left="5760" w:hanging="360"/>
      </w:pPr>
      <w:rPr>
        <w:rFonts w:ascii="Arial" w:hAnsi="Arial" w:hint="default"/>
      </w:rPr>
    </w:lvl>
    <w:lvl w:ilvl="8" w:tplc="49025D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FB19A3"/>
    <w:multiLevelType w:val="hybridMultilevel"/>
    <w:tmpl w:val="6CBA7C68"/>
    <w:lvl w:ilvl="0" w:tplc="41DE5D80">
      <w:start w:val="1"/>
      <w:numFmt w:val="bullet"/>
      <w:lvlText w:val="•"/>
      <w:lvlJc w:val="left"/>
      <w:pPr>
        <w:tabs>
          <w:tab w:val="num" w:pos="720"/>
        </w:tabs>
        <w:ind w:left="720" w:hanging="360"/>
      </w:pPr>
      <w:rPr>
        <w:rFonts w:ascii="Arial" w:hAnsi="Arial" w:hint="default"/>
      </w:rPr>
    </w:lvl>
    <w:lvl w:ilvl="1" w:tplc="88FCD466" w:tentative="1">
      <w:start w:val="1"/>
      <w:numFmt w:val="bullet"/>
      <w:lvlText w:val="•"/>
      <w:lvlJc w:val="left"/>
      <w:pPr>
        <w:tabs>
          <w:tab w:val="num" w:pos="1440"/>
        </w:tabs>
        <w:ind w:left="1440" w:hanging="360"/>
      </w:pPr>
      <w:rPr>
        <w:rFonts w:ascii="Arial" w:hAnsi="Arial" w:hint="default"/>
      </w:rPr>
    </w:lvl>
    <w:lvl w:ilvl="2" w:tplc="0E5650EC" w:tentative="1">
      <w:start w:val="1"/>
      <w:numFmt w:val="bullet"/>
      <w:lvlText w:val="•"/>
      <w:lvlJc w:val="left"/>
      <w:pPr>
        <w:tabs>
          <w:tab w:val="num" w:pos="2160"/>
        </w:tabs>
        <w:ind w:left="2160" w:hanging="360"/>
      </w:pPr>
      <w:rPr>
        <w:rFonts w:ascii="Arial" w:hAnsi="Arial" w:hint="default"/>
      </w:rPr>
    </w:lvl>
    <w:lvl w:ilvl="3" w:tplc="DD709D42" w:tentative="1">
      <w:start w:val="1"/>
      <w:numFmt w:val="bullet"/>
      <w:lvlText w:val="•"/>
      <w:lvlJc w:val="left"/>
      <w:pPr>
        <w:tabs>
          <w:tab w:val="num" w:pos="2880"/>
        </w:tabs>
        <w:ind w:left="2880" w:hanging="360"/>
      </w:pPr>
      <w:rPr>
        <w:rFonts w:ascii="Arial" w:hAnsi="Arial" w:hint="default"/>
      </w:rPr>
    </w:lvl>
    <w:lvl w:ilvl="4" w:tplc="7D58210A" w:tentative="1">
      <w:start w:val="1"/>
      <w:numFmt w:val="bullet"/>
      <w:lvlText w:val="•"/>
      <w:lvlJc w:val="left"/>
      <w:pPr>
        <w:tabs>
          <w:tab w:val="num" w:pos="3600"/>
        </w:tabs>
        <w:ind w:left="3600" w:hanging="360"/>
      </w:pPr>
      <w:rPr>
        <w:rFonts w:ascii="Arial" w:hAnsi="Arial" w:hint="default"/>
      </w:rPr>
    </w:lvl>
    <w:lvl w:ilvl="5" w:tplc="E2380336" w:tentative="1">
      <w:start w:val="1"/>
      <w:numFmt w:val="bullet"/>
      <w:lvlText w:val="•"/>
      <w:lvlJc w:val="left"/>
      <w:pPr>
        <w:tabs>
          <w:tab w:val="num" w:pos="4320"/>
        </w:tabs>
        <w:ind w:left="4320" w:hanging="360"/>
      </w:pPr>
      <w:rPr>
        <w:rFonts w:ascii="Arial" w:hAnsi="Arial" w:hint="default"/>
      </w:rPr>
    </w:lvl>
    <w:lvl w:ilvl="6" w:tplc="B0C60ECE" w:tentative="1">
      <w:start w:val="1"/>
      <w:numFmt w:val="bullet"/>
      <w:lvlText w:val="•"/>
      <w:lvlJc w:val="left"/>
      <w:pPr>
        <w:tabs>
          <w:tab w:val="num" w:pos="5040"/>
        </w:tabs>
        <w:ind w:left="5040" w:hanging="360"/>
      </w:pPr>
      <w:rPr>
        <w:rFonts w:ascii="Arial" w:hAnsi="Arial" w:hint="default"/>
      </w:rPr>
    </w:lvl>
    <w:lvl w:ilvl="7" w:tplc="38D8359E" w:tentative="1">
      <w:start w:val="1"/>
      <w:numFmt w:val="bullet"/>
      <w:lvlText w:val="•"/>
      <w:lvlJc w:val="left"/>
      <w:pPr>
        <w:tabs>
          <w:tab w:val="num" w:pos="5760"/>
        </w:tabs>
        <w:ind w:left="5760" w:hanging="360"/>
      </w:pPr>
      <w:rPr>
        <w:rFonts w:ascii="Arial" w:hAnsi="Arial" w:hint="default"/>
      </w:rPr>
    </w:lvl>
    <w:lvl w:ilvl="8" w:tplc="63A0919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1D3400"/>
    <w:multiLevelType w:val="hybridMultilevel"/>
    <w:tmpl w:val="42C615DE"/>
    <w:lvl w:ilvl="0" w:tplc="46F0BF92">
      <w:start w:val="1"/>
      <w:numFmt w:val="bullet"/>
      <w:lvlText w:val="•"/>
      <w:lvlJc w:val="left"/>
      <w:pPr>
        <w:tabs>
          <w:tab w:val="num" w:pos="720"/>
        </w:tabs>
        <w:ind w:left="720" w:hanging="360"/>
      </w:pPr>
      <w:rPr>
        <w:rFonts w:ascii="Arial" w:hAnsi="Arial" w:hint="default"/>
      </w:rPr>
    </w:lvl>
    <w:lvl w:ilvl="1" w:tplc="C66E1316" w:tentative="1">
      <w:start w:val="1"/>
      <w:numFmt w:val="bullet"/>
      <w:lvlText w:val="•"/>
      <w:lvlJc w:val="left"/>
      <w:pPr>
        <w:tabs>
          <w:tab w:val="num" w:pos="1440"/>
        </w:tabs>
        <w:ind w:left="1440" w:hanging="360"/>
      </w:pPr>
      <w:rPr>
        <w:rFonts w:ascii="Arial" w:hAnsi="Arial" w:hint="default"/>
      </w:rPr>
    </w:lvl>
    <w:lvl w:ilvl="2" w:tplc="B0843EC4" w:tentative="1">
      <w:start w:val="1"/>
      <w:numFmt w:val="bullet"/>
      <w:lvlText w:val="•"/>
      <w:lvlJc w:val="left"/>
      <w:pPr>
        <w:tabs>
          <w:tab w:val="num" w:pos="2160"/>
        </w:tabs>
        <w:ind w:left="2160" w:hanging="360"/>
      </w:pPr>
      <w:rPr>
        <w:rFonts w:ascii="Arial" w:hAnsi="Arial" w:hint="default"/>
      </w:rPr>
    </w:lvl>
    <w:lvl w:ilvl="3" w:tplc="54B04EEC" w:tentative="1">
      <w:start w:val="1"/>
      <w:numFmt w:val="bullet"/>
      <w:lvlText w:val="•"/>
      <w:lvlJc w:val="left"/>
      <w:pPr>
        <w:tabs>
          <w:tab w:val="num" w:pos="2880"/>
        </w:tabs>
        <w:ind w:left="2880" w:hanging="360"/>
      </w:pPr>
      <w:rPr>
        <w:rFonts w:ascii="Arial" w:hAnsi="Arial" w:hint="default"/>
      </w:rPr>
    </w:lvl>
    <w:lvl w:ilvl="4" w:tplc="226CE20E" w:tentative="1">
      <w:start w:val="1"/>
      <w:numFmt w:val="bullet"/>
      <w:lvlText w:val="•"/>
      <w:lvlJc w:val="left"/>
      <w:pPr>
        <w:tabs>
          <w:tab w:val="num" w:pos="3600"/>
        </w:tabs>
        <w:ind w:left="3600" w:hanging="360"/>
      </w:pPr>
      <w:rPr>
        <w:rFonts w:ascii="Arial" w:hAnsi="Arial" w:hint="default"/>
      </w:rPr>
    </w:lvl>
    <w:lvl w:ilvl="5" w:tplc="B1E4E9B2" w:tentative="1">
      <w:start w:val="1"/>
      <w:numFmt w:val="bullet"/>
      <w:lvlText w:val="•"/>
      <w:lvlJc w:val="left"/>
      <w:pPr>
        <w:tabs>
          <w:tab w:val="num" w:pos="4320"/>
        </w:tabs>
        <w:ind w:left="4320" w:hanging="360"/>
      </w:pPr>
      <w:rPr>
        <w:rFonts w:ascii="Arial" w:hAnsi="Arial" w:hint="default"/>
      </w:rPr>
    </w:lvl>
    <w:lvl w:ilvl="6" w:tplc="F3A462EA" w:tentative="1">
      <w:start w:val="1"/>
      <w:numFmt w:val="bullet"/>
      <w:lvlText w:val="•"/>
      <w:lvlJc w:val="left"/>
      <w:pPr>
        <w:tabs>
          <w:tab w:val="num" w:pos="5040"/>
        </w:tabs>
        <w:ind w:left="5040" w:hanging="360"/>
      </w:pPr>
      <w:rPr>
        <w:rFonts w:ascii="Arial" w:hAnsi="Arial" w:hint="default"/>
      </w:rPr>
    </w:lvl>
    <w:lvl w:ilvl="7" w:tplc="0EBA3FA2" w:tentative="1">
      <w:start w:val="1"/>
      <w:numFmt w:val="bullet"/>
      <w:lvlText w:val="•"/>
      <w:lvlJc w:val="left"/>
      <w:pPr>
        <w:tabs>
          <w:tab w:val="num" w:pos="5760"/>
        </w:tabs>
        <w:ind w:left="5760" w:hanging="360"/>
      </w:pPr>
      <w:rPr>
        <w:rFonts w:ascii="Arial" w:hAnsi="Arial" w:hint="default"/>
      </w:rPr>
    </w:lvl>
    <w:lvl w:ilvl="8" w:tplc="B2947D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814E6C"/>
    <w:multiLevelType w:val="hybridMultilevel"/>
    <w:tmpl w:val="9D16C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BE6DEF"/>
    <w:multiLevelType w:val="hybridMultilevel"/>
    <w:tmpl w:val="5B400BB4"/>
    <w:lvl w:ilvl="0" w:tplc="6EE49C78">
      <w:start w:val="1"/>
      <w:numFmt w:val="bullet"/>
      <w:lvlText w:val="•"/>
      <w:lvlJc w:val="left"/>
      <w:pPr>
        <w:tabs>
          <w:tab w:val="num" w:pos="720"/>
        </w:tabs>
        <w:ind w:left="720" w:hanging="360"/>
      </w:pPr>
      <w:rPr>
        <w:rFonts w:ascii="Arial" w:hAnsi="Arial" w:hint="default"/>
      </w:rPr>
    </w:lvl>
    <w:lvl w:ilvl="1" w:tplc="40F8F062" w:tentative="1">
      <w:start w:val="1"/>
      <w:numFmt w:val="bullet"/>
      <w:lvlText w:val="•"/>
      <w:lvlJc w:val="left"/>
      <w:pPr>
        <w:tabs>
          <w:tab w:val="num" w:pos="1440"/>
        </w:tabs>
        <w:ind w:left="1440" w:hanging="360"/>
      </w:pPr>
      <w:rPr>
        <w:rFonts w:ascii="Arial" w:hAnsi="Arial" w:hint="default"/>
      </w:rPr>
    </w:lvl>
    <w:lvl w:ilvl="2" w:tplc="5F76A83A" w:tentative="1">
      <w:start w:val="1"/>
      <w:numFmt w:val="bullet"/>
      <w:lvlText w:val="•"/>
      <w:lvlJc w:val="left"/>
      <w:pPr>
        <w:tabs>
          <w:tab w:val="num" w:pos="2160"/>
        </w:tabs>
        <w:ind w:left="2160" w:hanging="360"/>
      </w:pPr>
      <w:rPr>
        <w:rFonts w:ascii="Arial" w:hAnsi="Arial" w:hint="default"/>
      </w:rPr>
    </w:lvl>
    <w:lvl w:ilvl="3" w:tplc="49026A0E" w:tentative="1">
      <w:start w:val="1"/>
      <w:numFmt w:val="bullet"/>
      <w:lvlText w:val="•"/>
      <w:lvlJc w:val="left"/>
      <w:pPr>
        <w:tabs>
          <w:tab w:val="num" w:pos="2880"/>
        </w:tabs>
        <w:ind w:left="2880" w:hanging="360"/>
      </w:pPr>
      <w:rPr>
        <w:rFonts w:ascii="Arial" w:hAnsi="Arial" w:hint="default"/>
      </w:rPr>
    </w:lvl>
    <w:lvl w:ilvl="4" w:tplc="0F2C900C" w:tentative="1">
      <w:start w:val="1"/>
      <w:numFmt w:val="bullet"/>
      <w:lvlText w:val="•"/>
      <w:lvlJc w:val="left"/>
      <w:pPr>
        <w:tabs>
          <w:tab w:val="num" w:pos="3600"/>
        </w:tabs>
        <w:ind w:left="3600" w:hanging="360"/>
      </w:pPr>
      <w:rPr>
        <w:rFonts w:ascii="Arial" w:hAnsi="Arial" w:hint="default"/>
      </w:rPr>
    </w:lvl>
    <w:lvl w:ilvl="5" w:tplc="ABCEA494" w:tentative="1">
      <w:start w:val="1"/>
      <w:numFmt w:val="bullet"/>
      <w:lvlText w:val="•"/>
      <w:lvlJc w:val="left"/>
      <w:pPr>
        <w:tabs>
          <w:tab w:val="num" w:pos="4320"/>
        </w:tabs>
        <w:ind w:left="4320" w:hanging="360"/>
      </w:pPr>
      <w:rPr>
        <w:rFonts w:ascii="Arial" w:hAnsi="Arial" w:hint="default"/>
      </w:rPr>
    </w:lvl>
    <w:lvl w:ilvl="6" w:tplc="2F38BE1A" w:tentative="1">
      <w:start w:val="1"/>
      <w:numFmt w:val="bullet"/>
      <w:lvlText w:val="•"/>
      <w:lvlJc w:val="left"/>
      <w:pPr>
        <w:tabs>
          <w:tab w:val="num" w:pos="5040"/>
        </w:tabs>
        <w:ind w:left="5040" w:hanging="360"/>
      </w:pPr>
      <w:rPr>
        <w:rFonts w:ascii="Arial" w:hAnsi="Arial" w:hint="default"/>
      </w:rPr>
    </w:lvl>
    <w:lvl w:ilvl="7" w:tplc="8FBA6D56" w:tentative="1">
      <w:start w:val="1"/>
      <w:numFmt w:val="bullet"/>
      <w:lvlText w:val="•"/>
      <w:lvlJc w:val="left"/>
      <w:pPr>
        <w:tabs>
          <w:tab w:val="num" w:pos="5760"/>
        </w:tabs>
        <w:ind w:left="5760" w:hanging="360"/>
      </w:pPr>
      <w:rPr>
        <w:rFonts w:ascii="Arial" w:hAnsi="Arial" w:hint="default"/>
      </w:rPr>
    </w:lvl>
    <w:lvl w:ilvl="8" w:tplc="131C87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C06E57"/>
    <w:multiLevelType w:val="hybridMultilevel"/>
    <w:tmpl w:val="A0660336"/>
    <w:lvl w:ilvl="0" w:tplc="A956F132">
      <w:start w:val="1"/>
      <w:numFmt w:val="bullet"/>
      <w:lvlText w:val="•"/>
      <w:lvlJc w:val="left"/>
      <w:pPr>
        <w:tabs>
          <w:tab w:val="num" w:pos="720"/>
        </w:tabs>
        <w:ind w:left="720" w:hanging="360"/>
      </w:pPr>
      <w:rPr>
        <w:rFonts w:ascii="Arial" w:hAnsi="Arial" w:hint="default"/>
      </w:rPr>
    </w:lvl>
    <w:lvl w:ilvl="1" w:tplc="B35C652E" w:tentative="1">
      <w:start w:val="1"/>
      <w:numFmt w:val="bullet"/>
      <w:lvlText w:val="•"/>
      <w:lvlJc w:val="left"/>
      <w:pPr>
        <w:tabs>
          <w:tab w:val="num" w:pos="1440"/>
        </w:tabs>
        <w:ind w:left="1440" w:hanging="360"/>
      </w:pPr>
      <w:rPr>
        <w:rFonts w:ascii="Arial" w:hAnsi="Arial" w:hint="default"/>
      </w:rPr>
    </w:lvl>
    <w:lvl w:ilvl="2" w:tplc="F5DCA2AE" w:tentative="1">
      <w:start w:val="1"/>
      <w:numFmt w:val="bullet"/>
      <w:lvlText w:val="•"/>
      <w:lvlJc w:val="left"/>
      <w:pPr>
        <w:tabs>
          <w:tab w:val="num" w:pos="2160"/>
        </w:tabs>
        <w:ind w:left="2160" w:hanging="360"/>
      </w:pPr>
      <w:rPr>
        <w:rFonts w:ascii="Arial" w:hAnsi="Arial" w:hint="default"/>
      </w:rPr>
    </w:lvl>
    <w:lvl w:ilvl="3" w:tplc="89483350" w:tentative="1">
      <w:start w:val="1"/>
      <w:numFmt w:val="bullet"/>
      <w:lvlText w:val="•"/>
      <w:lvlJc w:val="left"/>
      <w:pPr>
        <w:tabs>
          <w:tab w:val="num" w:pos="2880"/>
        </w:tabs>
        <w:ind w:left="2880" w:hanging="360"/>
      </w:pPr>
      <w:rPr>
        <w:rFonts w:ascii="Arial" w:hAnsi="Arial" w:hint="default"/>
      </w:rPr>
    </w:lvl>
    <w:lvl w:ilvl="4" w:tplc="EF924576" w:tentative="1">
      <w:start w:val="1"/>
      <w:numFmt w:val="bullet"/>
      <w:lvlText w:val="•"/>
      <w:lvlJc w:val="left"/>
      <w:pPr>
        <w:tabs>
          <w:tab w:val="num" w:pos="3600"/>
        </w:tabs>
        <w:ind w:left="3600" w:hanging="360"/>
      </w:pPr>
      <w:rPr>
        <w:rFonts w:ascii="Arial" w:hAnsi="Arial" w:hint="default"/>
      </w:rPr>
    </w:lvl>
    <w:lvl w:ilvl="5" w:tplc="282EEBA8" w:tentative="1">
      <w:start w:val="1"/>
      <w:numFmt w:val="bullet"/>
      <w:lvlText w:val="•"/>
      <w:lvlJc w:val="left"/>
      <w:pPr>
        <w:tabs>
          <w:tab w:val="num" w:pos="4320"/>
        </w:tabs>
        <w:ind w:left="4320" w:hanging="360"/>
      </w:pPr>
      <w:rPr>
        <w:rFonts w:ascii="Arial" w:hAnsi="Arial" w:hint="default"/>
      </w:rPr>
    </w:lvl>
    <w:lvl w:ilvl="6" w:tplc="35602402" w:tentative="1">
      <w:start w:val="1"/>
      <w:numFmt w:val="bullet"/>
      <w:lvlText w:val="•"/>
      <w:lvlJc w:val="left"/>
      <w:pPr>
        <w:tabs>
          <w:tab w:val="num" w:pos="5040"/>
        </w:tabs>
        <w:ind w:left="5040" w:hanging="360"/>
      </w:pPr>
      <w:rPr>
        <w:rFonts w:ascii="Arial" w:hAnsi="Arial" w:hint="default"/>
      </w:rPr>
    </w:lvl>
    <w:lvl w:ilvl="7" w:tplc="E6ACD9FC" w:tentative="1">
      <w:start w:val="1"/>
      <w:numFmt w:val="bullet"/>
      <w:lvlText w:val="•"/>
      <w:lvlJc w:val="left"/>
      <w:pPr>
        <w:tabs>
          <w:tab w:val="num" w:pos="5760"/>
        </w:tabs>
        <w:ind w:left="5760" w:hanging="360"/>
      </w:pPr>
      <w:rPr>
        <w:rFonts w:ascii="Arial" w:hAnsi="Arial" w:hint="default"/>
      </w:rPr>
    </w:lvl>
    <w:lvl w:ilvl="8" w:tplc="43FCAB6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D6621A"/>
    <w:multiLevelType w:val="hybridMultilevel"/>
    <w:tmpl w:val="76923E10"/>
    <w:lvl w:ilvl="0" w:tplc="45CCFED2">
      <w:start w:val="1"/>
      <w:numFmt w:val="bullet"/>
      <w:lvlText w:val="•"/>
      <w:lvlJc w:val="left"/>
      <w:pPr>
        <w:tabs>
          <w:tab w:val="num" w:pos="720"/>
        </w:tabs>
        <w:ind w:left="720" w:hanging="360"/>
      </w:pPr>
      <w:rPr>
        <w:rFonts w:ascii="Arial" w:hAnsi="Arial" w:hint="default"/>
      </w:rPr>
    </w:lvl>
    <w:lvl w:ilvl="1" w:tplc="69043B5A" w:tentative="1">
      <w:start w:val="1"/>
      <w:numFmt w:val="bullet"/>
      <w:lvlText w:val="•"/>
      <w:lvlJc w:val="left"/>
      <w:pPr>
        <w:tabs>
          <w:tab w:val="num" w:pos="1440"/>
        </w:tabs>
        <w:ind w:left="1440" w:hanging="360"/>
      </w:pPr>
      <w:rPr>
        <w:rFonts w:ascii="Arial" w:hAnsi="Arial" w:hint="default"/>
      </w:rPr>
    </w:lvl>
    <w:lvl w:ilvl="2" w:tplc="3D9A9AC4" w:tentative="1">
      <w:start w:val="1"/>
      <w:numFmt w:val="bullet"/>
      <w:lvlText w:val="•"/>
      <w:lvlJc w:val="left"/>
      <w:pPr>
        <w:tabs>
          <w:tab w:val="num" w:pos="2160"/>
        </w:tabs>
        <w:ind w:left="2160" w:hanging="360"/>
      </w:pPr>
      <w:rPr>
        <w:rFonts w:ascii="Arial" w:hAnsi="Arial" w:hint="default"/>
      </w:rPr>
    </w:lvl>
    <w:lvl w:ilvl="3" w:tplc="D61696D0" w:tentative="1">
      <w:start w:val="1"/>
      <w:numFmt w:val="bullet"/>
      <w:lvlText w:val="•"/>
      <w:lvlJc w:val="left"/>
      <w:pPr>
        <w:tabs>
          <w:tab w:val="num" w:pos="2880"/>
        </w:tabs>
        <w:ind w:left="2880" w:hanging="360"/>
      </w:pPr>
      <w:rPr>
        <w:rFonts w:ascii="Arial" w:hAnsi="Arial" w:hint="default"/>
      </w:rPr>
    </w:lvl>
    <w:lvl w:ilvl="4" w:tplc="0DB6842C" w:tentative="1">
      <w:start w:val="1"/>
      <w:numFmt w:val="bullet"/>
      <w:lvlText w:val="•"/>
      <w:lvlJc w:val="left"/>
      <w:pPr>
        <w:tabs>
          <w:tab w:val="num" w:pos="3600"/>
        </w:tabs>
        <w:ind w:left="3600" w:hanging="360"/>
      </w:pPr>
      <w:rPr>
        <w:rFonts w:ascii="Arial" w:hAnsi="Arial" w:hint="default"/>
      </w:rPr>
    </w:lvl>
    <w:lvl w:ilvl="5" w:tplc="2760EE36" w:tentative="1">
      <w:start w:val="1"/>
      <w:numFmt w:val="bullet"/>
      <w:lvlText w:val="•"/>
      <w:lvlJc w:val="left"/>
      <w:pPr>
        <w:tabs>
          <w:tab w:val="num" w:pos="4320"/>
        </w:tabs>
        <w:ind w:left="4320" w:hanging="360"/>
      </w:pPr>
      <w:rPr>
        <w:rFonts w:ascii="Arial" w:hAnsi="Arial" w:hint="default"/>
      </w:rPr>
    </w:lvl>
    <w:lvl w:ilvl="6" w:tplc="2DDA56A6" w:tentative="1">
      <w:start w:val="1"/>
      <w:numFmt w:val="bullet"/>
      <w:lvlText w:val="•"/>
      <w:lvlJc w:val="left"/>
      <w:pPr>
        <w:tabs>
          <w:tab w:val="num" w:pos="5040"/>
        </w:tabs>
        <w:ind w:left="5040" w:hanging="360"/>
      </w:pPr>
      <w:rPr>
        <w:rFonts w:ascii="Arial" w:hAnsi="Arial" w:hint="default"/>
      </w:rPr>
    </w:lvl>
    <w:lvl w:ilvl="7" w:tplc="BA5A9F82" w:tentative="1">
      <w:start w:val="1"/>
      <w:numFmt w:val="bullet"/>
      <w:lvlText w:val="•"/>
      <w:lvlJc w:val="left"/>
      <w:pPr>
        <w:tabs>
          <w:tab w:val="num" w:pos="5760"/>
        </w:tabs>
        <w:ind w:left="5760" w:hanging="360"/>
      </w:pPr>
      <w:rPr>
        <w:rFonts w:ascii="Arial" w:hAnsi="Arial" w:hint="default"/>
      </w:rPr>
    </w:lvl>
    <w:lvl w:ilvl="8" w:tplc="CF2EB0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4C1312"/>
    <w:multiLevelType w:val="hybridMultilevel"/>
    <w:tmpl w:val="842C19CE"/>
    <w:lvl w:ilvl="0" w:tplc="7C76234C">
      <w:start w:val="1"/>
      <w:numFmt w:val="bullet"/>
      <w:lvlText w:val="•"/>
      <w:lvlJc w:val="left"/>
      <w:pPr>
        <w:tabs>
          <w:tab w:val="num" w:pos="720"/>
        </w:tabs>
        <w:ind w:left="720" w:hanging="360"/>
      </w:pPr>
      <w:rPr>
        <w:rFonts w:ascii="Arial" w:hAnsi="Arial" w:hint="default"/>
      </w:rPr>
    </w:lvl>
    <w:lvl w:ilvl="1" w:tplc="671E893E" w:tentative="1">
      <w:start w:val="1"/>
      <w:numFmt w:val="bullet"/>
      <w:lvlText w:val="•"/>
      <w:lvlJc w:val="left"/>
      <w:pPr>
        <w:tabs>
          <w:tab w:val="num" w:pos="1440"/>
        </w:tabs>
        <w:ind w:left="1440" w:hanging="360"/>
      </w:pPr>
      <w:rPr>
        <w:rFonts w:ascii="Arial" w:hAnsi="Arial" w:hint="default"/>
      </w:rPr>
    </w:lvl>
    <w:lvl w:ilvl="2" w:tplc="AC7A5D7A" w:tentative="1">
      <w:start w:val="1"/>
      <w:numFmt w:val="bullet"/>
      <w:lvlText w:val="•"/>
      <w:lvlJc w:val="left"/>
      <w:pPr>
        <w:tabs>
          <w:tab w:val="num" w:pos="2160"/>
        </w:tabs>
        <w:ind w:left="2160" w:hanging="360"/>
      </w:pPr>
      <w:rPr>
        <w:rFonts w:ascii="Arial" w:hAnsi="Arial" w:hint="default"/>
      </w:rPr>
    </w:lvl>
    <w:lvl w:ilvl="3" w:tplc="79C29A78" w:tentative="1">
      <w:start w:val="1"/>
      <w:numFmt w:val="bullet"/>
      <w:lvlText w:val="•"/>
      <w:lvlJc w:val="left"/>
      <w:pPr>
        <w:tabs>
          <w:tab w:val="num" w:pos="2880"/>
        </w:tabs>
        <w:ind w:left="2880" w:hanging="360"/>
      </w:pPr>
      <w:rPr>
        <w:rFonts w:ascii="Arial" w:hAnsi="Arial" w:hint="default"/>
      </w:rPr>
    </w:lvl>
    <w:lvl w:ilvl="4" w:tplc="5846E2D2" w:tentative="1">
      <w:start w:val="1"/>
      <w:numFmt w:val="bullet"/>
      <w:lvlText w:val="•"/>
      <w:lvlJc w:val="left"/>
      <w:pPr>
        <w:tabs>
          <w:tab w:val="num" w:pos="3600"/>
        </w:tabs>
        <w:ind w:left="3600" w:hanging="360"/>
      </w:pPr>
      <w:rPr>
        <w:rFonts w:ascii="Arial" w:hAnsi="Arial" w:hint="default"/>
      </w:rPr>
    </w:lvl>
    <w:lvl w:ilvl="5" w:tplc="0F04580E" w:tentative="1">
      <w:start w:val="1"/>
      <w:numFmt w:val="bullet"/>
      <w:lvlText w:val="•"/>
      <w:lvlJc w:val="left"/>
      <w:pPr>
        <w:tabs>
          <w:tab w:val="num" w:pos="4320"/>
        </w:tabs>
        <w:ind w:left="4320" w:hanging="360"/>
      </w:pPr>
      <w:rPr>
        <w:rFonts w:ascii="Arial" w:hAnsi="Arial" w:hint="default"/>
      </w:rPr>
    </w:lvl>
    <w:lvl w:ilvl="6" w:tplc="647A0D18" w:tentative="1">
      <w:start w:val="1"/>
      <w:numFmt w:val="bullet"/>
      <w:lvlText w:val="•"/>
      <w:lvlJc w:val="left"/>
      <w:pPr>
        <w:tabs>
          <w:tab w:val="num" w:pos="5040"/>
        </w:tabs>
        <w:ind w:left="5040" w:hanging="360"/>
      </w:pPr>
      <w:rPr>
        <w:rFonts w:ascii="Arial" w:hAnsi="Arial" w:hint="default"/>
      </w:rPr>
    </w:lvl>
    <w:lvl w:ilvl="7" w:tplc="CDBE8D02" w:tentative="1">
      <w:start w:val="1"/>
      <w:numFmt w:val="bullet"/>
      <w:lvlText w:val="•"/>
      <w:lvlJc w:val="left"/>
      <w:pPr>
        <w:tabs>
          <w:tab w:val="num" w:pos="5760"/>
        </w:tabs>
        <w:ind w:left="5760" w:hanging="360"/>
      </w:pPr>
      <w:rPr>
        <w:rFonts w:ascii="Arial" w:hAnsi="Arial" w:hint="default"/>
      </w:rPr>
    </w:lvl>
    <w:lvl w:ilvl="8" w:tplc="F9FCF01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BD1A25"/>
    <w:multiLevelType w:val="hybridMultilevel"/>
    <w:tmpl w:val="7940FC2E"/>
    <w:lvl w:ilvl="0" w:tplc="FB98B396">
      <w:start w:val="1"/>
      <w:numFmt w:val="bullet"/>
      <w:lvlText w:val="•"/>
      <w:lvlJc w:val="left"/>
      <w:pPr>
        <w:tabs>
          <w:tab w:val="num" w:pos="720"/>
        </w:tabs>
        <w:ind w:left="720" w:hanging="360"/>
      </w:pPr>
      <w:rPr>
        <w:rFonts w:ascii="Arial" w:hAnsi="Arial" w:hint="default"/>
      </w:rPr>
    </w:lvl>
    <w:lvl w:ilvl="1" w:tplc="099CF952" w:tentative="1">
      <w:start w:val="1"/>
      <w:numFmt w:val="bullet"/>
      <w:lvlText w:val="•"/>
      <w:lvlJc w:val="left"/>
      <w:pPr>
        <w:tabs>
          <w:tab w:val="num" w:pos="1440"/>
        </w:tabs>
        <w:ind w:left="1440" w:hanging="360"/>
      </w:pPr>
      <w:rPr>
        <w:rFonts w:ascii="Arial" w:hAnsi="Arial" w:hint="default"/>
      </w:rPr>
    </w:lvl>
    <w:lvl w:ilvl="2" w:tplc="64128B14" w:tentative="1">
      <w:start w:val="1"/>
      <w:numFmt w:val="bullet"/>
      <w:lvlText w:val="•"/>
      <w:lvlJc w:val="left"/>
      <w:pPr>
        <w:tabs>
          <w:tab w:val="num" w:pos="2160"/>
        </w:tabs>
        <w:ind w:left="2160" w:hanging="360"/>
      </w:pPr>
      <w:rPr>
        <w:rFonts w:ascii="Arial" w:hAnsi="Arial" w:hint="default"/>
      </w:rPr>
    </w:lvl>
    <w:lvl w:ilvl="3" w:tplc="FDF40CEA" w:tentative="1">
      <w:start w:val="1"/>
      <w:numFmt w:val="bullet"/>
      <w:lvlText w:val="•"/>
      <w:lvlJc w:val="left"/>
      <w:pPr>
        <w:tabs>
          <w:tab w:val="num" w:pos="2880"/>
        </w:tabs>
        <w:ind w:left="2880" w:hanging="360"/>
      </w:pPr>
      <w:rPr>
        <w:rFonts w:ascii="Arial" w:hAnsi="Arial" w:hint="default"/>
      </w:rPr>
    </w:lvl>
    <w:lvl w:ilvl="4" w:tplc="B5AC086A" w:tentative="1">
      <w:start w:val="1"/>
      <w:numFmt w:val="bullet"/>
      <w:lvlText w:val="•"/>
      <w:lvlJc w:val="left"/>
      <w:pPr>
        <w:tabs>
          <w:tab w:val="num" w:pos="3600"/>
        </w:tabs>
        <w:ind w:left="3600" w:hanging="360"/>
      </w:pPr>
      <w:rPr>
        <w:rFonts w:ascii="Arial" w:hAnsi="Arial" w:hint="default"/>
      </w:rPr>
    </w:lvl>
    <w:lvl w:ilvl="5" w:tplc="24424924" w:tentative="1">
      <w:start w:val="1"/>
      <w:numFmt w:val="bullet"/>
      <w:lvlText w:val="•"/>
      <w:lvlJc w:val="left"/>
      <w:pPr>
        <w:tabs>
          <w:tab w:val="num" w:pos="4320"/>
        </w:tabs>
        <w:ind w:left="4320" w:hanging="360"/>
      </w:pPr>
      <w:rPr>
        <w:rFonts w:ascii="Arial" w:hAnsi="Arial" w:hint="default"/>
      </w:rPr>
    </w:lvl>
    <w:lvl w:ilvl="6" w:tplc="4968878C" w:tentative="1">
      <w:start w:val="1"/>
      <w:numFmt w:val="bullet"/>
      <w:lvlText w:val="•"/>
      <w:lvlJc w:val="left"/>
      <w:pPr>
        <w:tabs>
          <w:tab w:val="num" w:pos="5040"/>
        </w:tabs>
        <w:ind w:left="5040" w:hanging="360"/>
      </w:pPr>
      <w:rPr>
        <w:rFonts w:ascii="Arial" w:hAnsi="Arial" w:hint="default"/>
      </w:rPr>
    </w:lvl>
    <w:lvl w:ilvl="7" w:tplc="A022CA22" w:tentative="1">
      <w:start w:val="1"/>
      <w:numFmt w:val="bullet"/>
      <w:lvlText w:val="•"/>
      <w:lvlJc w:val="left"/>
      <w:pPr>
        <w:tabs>
          <w:tab w:val="num" w:pos="5760"/>
        </w:tabs>
        <w:ind w:left="5760" w:hanging="360"/>
      </w:pPr>
      <w:rPr>
        <w:rFonts w:ascii="Arial" w:hAnsi="Arial" w:hint="default"/>
      </w:rPr>
    </w:lvl>
    <w:lvl w:ilvl="8" w:tplc="2A50AA3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B73F9E"/>
    <w:multiLevelType w:val="hybridMultilevel"/>
    <w:tmpl w:val="831C3A40"/>
    <w:lvl w:ilvl="0" w:tplc="F2CE5620">
      <w:start w:val="1"/>
      <w:numFmt w:val="bullet"/>
      <w:lvlText w:val="•"/>
      <w:lvlJc w:val="left"/>
      <w:pPr>
        <w:tabs>
          <w:tab w:val="num" w:pos="720"/>
        </w:tabs>
        <w:ind w:left="720" w:hanging="360"/>
      </w:pPr>
      <w:rPr>
        <w:rFonts w:ascii="Arial" w:hAnsi="Arial" w:hint="default"/>
      </w:rPr>
    </w:lvl>
    <w:lvl w:ilvl="1" w:tplc="9022E710" w:tentative="1">
      <w:start w:val="1"/>
      <w:numFmt w:val="bullet"/>
      <w:lvlText w:val="•"/>
      <w:lvlJc w:val="left"/>
      <w:pPr>
        <w:tabs>
          <w:tab w:val="num" w:pos="1440"/>
        </w:tabs>
        <w:ind w:left="1440" w:hanging="360"/>
      </w:pPr>
      <w:rPr>
        <w:rFonts w:ascii="Arial" w:hAnsi="Arial" w:hint="default"/>
      </w:rPr>
    </w:lvl>
    <w:lvl w:ilvl="2" w:tplc="0FE64776" w:tentative="1">
      <w:start w:val="1"/>
      <w:numFmt w:val="bullet"/>
      <w:lvlText w:val="•"/>
      <w:lvlJc w:val="left"/>
      <w:pPr>
        <w:tabs>
          <w:tab w:val="num" w:pos="2160"/>
        </w:tabs>
        <w:ind w:left="2160" w:hanging="360"/>
      </w:pPr>
      <w:rPr>
        <w:rFonts w:ascii="Arial" w:hAnsi="Arial" w:hint="default"/>
      </w:rPr>
    </w:lvl>
    <w:lvl w:ilvl="3" w:tplc="E0EEB312" w:tentative="1">
      <w:start w:val="1"/>
      <w:numFmt w:val="bullet"/>
      <w:lvlText w:val="•"/>
      <w:lvlJc w:val="left"/>
      <w:pPr>
        <w:tabs>
          <w:tab w:val="num" w:pos="2880"/>
        </w:tabs>
        <w:ind w:left="2880" w:hanging="360"/>
      </w:pPr>
      <w:rPr>
        <w:rFonts w:ascii="Arial" w:hAnsi="Arial" w:hint="default"/>
      </w:rPr>
    </w:lvl>
    <w:lvl w:ilvl="4" w:tplc="30CA36FC" w:tentative="1">
      <w:start w:val="1"/>
      <w:numFmt w:val="bullet"/>
      <w:lvlText w:val="•"/>
      <w:lvlJc w:val="left"/>
      <w:pPr>
        <w:tabs>
          <w:tab w:val="num" w:pos="3600"/>
        </w:tabs>
        <w:ind w:left="3600" w:hanging="360"/>
      </w:pPr>
      <w:rPr>
        <w:rFonts w:ascii="Arial" w:hAnsi="Arial" w:hint="default"/>
      </w:rPr>
    </w:lvl>
    <w:lvl w:ilvl="5" w:tplc="EB38735A" w:tentative="1">
      <w:start w:val="1"/>
      <w:numFmt w:val="bullet"/>
      <w:lvlText w:val="•"/>
      <w:lvlJc w:val="left"/>
      <w:pPr>
        <w:tabs>
          <w:tab w:val="num" w:pos="4320"/>
        </w:tabs>
        <w:ind w:left="4320" w:hanging="360"/>
      </w:pPr>
      <w:rPr>
        <w:rFonts w:ascii="Arial" w:hAnsi="Arial" w:hint="default"/>
      </w:rPr>
    </w:lvl>
    <w:lvl w:ilvl="6" w:tplc="BEBA7C18" w:tentative="1">
      <w:start w:val="1"/>
      <w:numFmt w:val="bullet"/>
      <w:lvlText w:val="•"/>
      <w:lvlJc w:val="left"/>
      <w:pPr>
        <w:tabs>
          <w:tab w:val="num" w:pos="5040"/>
        </w:tabs>
        <w:ind w:left="5040" w:hanging="360"/>
      </w:pPr>
      <w:rPr>
        <w:rFonts w:ascii="Arial" w:hAnsi="Arial" w:hint="default"/>
      </w:rPr>
    </w:lvl>
    <w:lvl w:ilvl="7" w:tplc="00309A66" w:tentative="1">
      <w:start w:val="1"/>
      <w:numFmt w:val="bullet"/>
      <w:lvlText w:val="•"/>
      <w:lvlJc w:val="left"/>
      <w:pPr>
        <w:tabs>
          <w:tab w:val="num" w:pos="5760"/>
        </w:tabs>
        <w:ind w:left="5760" w:hanging="360"/>
      </w:pPr>
      <w:rPr>
        <w:rFonts w:ascii="Arial" w:hAnsi="Arial" w:hint="default"/>
      </w:rPr>
    </w:lvl>
    <w:lvl w:ilvl="8" w:tplc="D396A7B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BB50CA"/>
    <w:multiLevelType w:val="hybridMultilevel"/>
    <w:tmpl w:val="50C86D3A"/>
    <w:lvl w:ilvl="0" w:tplc="E4A094AC">
      <w:start w:val="1"/>
      <w:numFmt w:val="bullet"/>
      <w:lvlText w:val="•"/>
      <w:lvlJc w:val="left"/>
      <w:pPr>
        <w:tabs>
          <w:tab w:val="num" w:pos="720"/>
        </w:tabs>
        <w:ind w:left="720" w:hanging="360"/>
      </w:pPr>
      <w:rPr>
        <w:rFonts w:ascii="Arial" w:hAnsi="Arial" w:hint="default"/>
      </w:rPr>
    </w:lvl>
    <w:lvl w:ilvl="1" w:tplc="04EAECDE" w:tentative="1">
      <w:start w:val="1"/>
      <w:numFmt w:val="bullet"/>
      <w:lvlText w:val="•"/>
      <w:lvlJc w:val="left"/>
      <w:pPr>
        <w:tabs>
          <w:tab w:val="num" w:pos="1440"/>
        </w:tabs>
        <w:ind w:left="1440" w:hanging="360"/>
      </w:pPr>
      <w:rPr>
        <w:rFonts w:ascii="Arial" w:hAnsi="Arial" w:hint="default"/>
      </w:rPr>
    </w:lvl>
    <w:lvl w:ilvl="2" w:tplc="7EBEAEFA" w:tentative="1">
      <w:start w:val="1"/>
      <w:numFmt w:val="bullet"/>
      <w:lvlText w:val="•"/>
      <w:lvlJc w:val="left"/>
      <w:pPr>
        <w:tabs>
          <w:tab w:val="num" w:pos="2160"/>
        </w:tabs>
        <w:ind w:left="2160" w:hanging="360"/>
      </w:pPr>
      <w:rPr>
        <w:rFonts w:ascii="Arial" w:hAnsi="Arial" w:hint="default"/>
      </w:rPr>
    </w:lvl>
    <w:lvl w:ilvl="3" w:tplc="37A647FE" w:tentative="1">
      <w:start w:val="1"/>
      <w:numFmt w:val="bullet"/>
      <w:lvlText w:val="•"/>
      <w:lvlJc w:val="left"/>
      <w:pPr>
        <w:tabs>
          <w:tab w:val="num" w:pos="2880"/>
        </w:tabs>
        <w:ind w:left="2880" w:hanging="360"/>
      </w:pPr>
      <w:rPr>
        <w:rFonts w:ascii="Arial" w:hAnsi="Arial" w:hint="default"/>
      </w:rPr>
    </w:lvl>
    <w:lvl w:ilvl="4" w:tplc="3EB05A80" w:tentative="1">
      <w:start w:val="1"/>
      <w:numFmt w:val="bullet"/>
      <w:lvlText w:val="•"/>
      <w:lvlJc w:val="left"/>
      <w:pPr>
        <w:tabs>
          <w:tab w:val="num" w:pos="3600"/>
        </w:tabs>
        <w:ind w:left="3600" w:hanging="360"/>
      </w:pPr>
      <w:rPr>
        <w:rFonts w:ascii="Arial" w:hAnsi="Arial" w:hint="default"/>
      </w:rPr>
    </w:lvl>
    <w:lvl w:ilvl="5" w:tplc="54BC03C0" w:tentative="1">
      <w:start w:val="1"/>
      <w:numFmt w:val="bullet"/>
      <w:lvlText w:val="•"/>
      <w:lvlJc w:val="left"/>
      <w:pPr>
        <w:tabs>
          <w:tab w:val="num" w:pos="4320"/>
        </w:tabs>
        <w:ind w:left="4320" w:hanging="360"/>
      </w:pPr>
      <w:rPr>
        <w:rFonts w:ascii="Arial" w:hAnsi="Arial" w:hint="default"/>
      </w:rPr>
    </w:lvl>
    <w:lvl w:ilvl="6" w:tplc="250484D0" w:tentative="1">
      <w:start w:val="1"/>
      <w:numFmt w:val="bullet"/>
      <w:lvlText w:val="•"/>
      <w:lvlJc w:val="left"/>
      <w:pPr>
        <w:tabs>
          <w:tab w:val="num" w:pos="5040"/>
        </w:tabs>
        <w:ind w:left="5040" w:hanging="360"/>
      </w:pPr>
      <w:rPr>
        <w:rFonts w:ascii="Arial" w:hAnsi="Arial" w:hint="default"/>
      </w:rPr>
    </w:lvl>
    <w:lvl w:ilvl="7" w:tplc="A364B102" w:tentative="1">
      <w:start w:val="1"/>
      <w:numFmt w:val="bullet"/>
      <w:lvlText w:val="•"/>
      <w:lvlJc w:val="left"/>
      <w:pPr>
        <w:tabs>
          <w:tab w:val="num" w:pos="5760"/>
        </w:tabs>
        <w:ind w:left="5760" w:hanging="360"/>
      </w:pPr>
      <w:rPr>
        <w:rFonts w:ascii="Arial" w:hAnsi="Arial" w:hint="default"/>
      </w:rPr>
    </w:lvl>
    <w:lvl w:ilvl="8" w:tplc="357E895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9941FF8"/>
    <w:multiLevelType w:val="hybridMultilevel"/>
    <w:tmpl w:val="391C35A2"/>
    <w:lvl w:ilvl="0" w:tplc="D9E6D590">
      <w:start w:val="1"/>
      <w:numFmt w:val="bullet"/>
      <w:lvlText w:val="•"/>
      <w:lvlJc w:val="left"/>
      <w:pPr>
        <w:tabs>
          <w:tab w:val="num" w:pos="720"/>
        </w:tabs>
        <w:ind w:left="720" w:hanging="360"/>
      </w:pPr>
      <w:rPr>
        <w:rFonts w:ascii="Arial" w:hAnsi="Arial" w:hint="default"/>
      </w:rPr>
    </w:lvl>
    <w:lvl w:ilvl="1" w:tplc="8A5A0BAA" w:tentative="1">
      <w:start w:val="1"/>
      <w:numFmt w:val="bullet"/>
      <w:lvlText w:val="•"/>
      <w:lvlJc w:val="left"/>
      <w:pPr>
        <w:tabs>
          <w:tab w:val="num" w:pos="1440"/>
        </w:tabs>
        <w:ind w:left="1440" w:hanging="360"/>
      </w:pPr>
      <w:rPr>
        <w:rFonts w:ascii="Arial" w:hAnsi="Arial" w:hint="default"/>
      </w:rPr>
    </w:lvl>
    <w:lvl w:ilvl="2" w:tplc="B548253C" w:tentative="1">
      <w:start w:val="1"/>
      <w:numFmt w:val="bullet"/>
      <w:lvlText w:val="•"/>
      <w:lvlJc w:val="left"/>
      <w:pPr>
        <w:tabs>
          <w:tab w:val="num" w:pos="2160"/>
        </w:tabs>
        <w:ind w:left="2160" w:hanging="360"/>
      </w:pPr>
      <w:rPr>
        <w:rFonts w:ascii="Arial" w:hAnsi="Arial" w:hint="default"/>
      </w:rPr>
    </w:lvl>
    <w:lvl w:ilvl="3" w:tplc="DC2E57EA" w:tentative="1">
      <w:start w:val="1"/>
      <w:numFmt w:val="bullet"/>
      <w:lvlText w:val="•"/>
      <w:lvlJc w:val="left"/>
      <w:pPr>
        <w:tabs>
          <w:tab w:val="num" w:pos="2880"/>
        </w:tabs>
        <w:ind w:left="2880" w:hanging="360"/>
      </w:pPr>
      <w:rPr>
        <w:rFonts w:ascii="Arial" w:hAnsi="Arial" w:hint="default"/>
      </w:rPr>
    </w:lvl>
    <w:lvl w:ilvl="4" w:tplc="0A0CB086" w:tentative="1">
      <w:start w:val="1"/>
      <w:numFmt w:val="bullet"/>
      <w:lvlText w:val="•"/>
      <w:lvlJc w:val="left"/>
      <w:pPr>
        <w:tabs>
          <w:tab w:val="num" w:pos="3600"/>
        </w:tabs>
        <w:ind w:left="3600" w:hanging="360"/>
      </w:pPr>
      <w:rPr>
        <w:rFonts w:ascii="Arial" w:hAnsi="Arial" w:hint="default"/>
      </w:rPr>
    </w:lvl>
    <w:lvl w:ilvl="5" w:tplc="B1F21CF8" w:tentative="1">
      <w:start w:val="1"/>
      <w:numFmt w:val="bullet"/>
      <w:lvlText w:val="•"/>
      <w:lvlJc w:val="left"/>
      <w:pPr>
        <w:tabs>
          <w:tab w:val="num" w:pos="4320"/>
        </w:tabs>
        <w:ind w:left="4320" w:hanging="360"/>
      </w:pPr>
      <w:rPr>
        <w:rFonts w:ascii="Arial" w:hAnsi="Arial" w:hint="default"/>
      </w:rPr>
    </w:lvl>
    <w:lvl w:ilvl="6" w:tplc="A4F2836E" w:tentative="1">
      <w:start w:val="1"/>
      <w:numFmt w:val="bullet"/>
      <w:lvlText w:val="•"/>
      <w:lvlJc w:val="left"/>
      <w:pPr>
        <w:tabs>
          <w:tab w:val="num" w:pos="5040"/>
        </w:tabs>
        <w:ind w:left="5040" w:hanging="360"/>
      </w:pPr>
      <w:rPr>
        <w:rFonts w:ascii="Arial" w:hAnsi="Arial" w:hint="default"/>
      </w:rPr>
    </w:lvl>
    <w:lvl w:ilvl="7" w:tplc="972E68A6" w:tentative="1">
      <w:start w:val="1"/>
      <w:numFmt w:val="bullet"/>
      <w:lvlText w:val="•"/>
      <w:lvlJc w:val="left"/>
      <w:pPr>
        <w:tabs>
          <w:tab w:val="num" w:pos="5760"/>
        </w:tabs>
        <w:ind w:left="5760" w:hanging="360"/>
      </w:pPr>
      <w:rPr>
        <w:rFonts w:ascii="Arial" w:hAnsi="Arial" w:hint="default"/>
      </w:rPr>
    </w:lvl>
    <w:lvl w:ilvl="8" w:tplc="08C8470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253BDB"/>
    <w:multiLevelType w:val="hybridMultilevel"/>
    <w:tmpl w:val="067AF5AC"/>
    <w:lvl w:ilvl="0" w:tplc="49BADB54">
      <w:start w:val="1"/>
      <w:numFmt w:val="bullet"/>
      <w:lvlText w:val="•"/>
      <w:lvlJc w:val="left"/>
      <w:pPr>
        <w:tabs>
          <w:tab w:val="num" w:pos="720"/>
        </w:tabs>
        <w:ind w:left="720" w:hanging="360"/>
      </w:pPr>
      <w:rPr>
        <w:rFonts w:ascii="Arial" w:hAnsi="Arial" w:hint="default"/>
      </w:rPr>
    </w:lvl>
    <w:lvl w:ilvl="1" w:tplc="DDDCF16E" w:tentative="1">
      <w:start w:val="1"/>
      <w:numFmt w:val="bullet"/>
      <w:lvlText w:val="•"/>
      <w:lvlJc w:val="left"/>
      <w:pPr>
        <w:tabs>
          <w:tab w:val="num" w:pos="1440"/>
        </w:tabs>
        <w:ind w:left="1440" w:hanging="360"/>
      </w:pPr>
      <w:rPr>
        <w:rFonts w:ascii="Arial" w:hAnsi="Arial" w:hint="default"/>
      </w:rPr>
    </w:lvl>
    <w:lvl w:ilvl="2" w:tplc="BEE4A798" w:tentative="1">
      <w:start w:val="1"/>
      <w:numFmt w:val="bullet"/>
      <w:lvlText w:val="•"/>
      <w:lvlJc w:val="left"/>
      <w:pPr>
        <w:tabs>
          <w:tab w:val="num" w:pos="2160"/>
        </w:tabs>
        <w:ind w:left="2160" w:hanging="360"/>
      </w:pPr>
      <w:rPr>
        <w:rFonts w:ascii="Arial" w:hAnsi="Arial" w:hint="default"/>
      </w:rPr>
    </w:lvl>
    <w:lvl w:ilvl="3" w:tplc="EF226AD6" w:tentative="1">
      <w:start w:val="1"/>
      <w:numFmt w:val="bullet"/>
      <w:lvlText w:val="•"/>
      <w:lvlJc w:val="left"/>
      <w:pPr>
        <w:tabs>
          <w:tab w:val="num" w:pos="2880"/>
        </w:tabs>
        <w:ind w:left="2880" w:hanging="360"/>
      </w:pPr>
      <w:rPr>
        <w:rFonts w:ascii="Arial" w:hAnsi="Arial" w:hint="default"/>
      </w:rPr>
    </w:lvl>
    <w:lvl w:ilvl="4" w:tplc="2340D708" w:tentative="1">
      <w:start w:val="1"/>
      <w:numFmt w:val="bullet"/>
      <w:lvlText w:val="•"/>
      <w:lvlJc w:val="left"/>
      <w:pPr>
        <w:tabs>
          <w:tab w:val="num" w:pos="3600"/>
        </w:tabs>
        <w:ind w:left="3600" w:hanging="360"/>
      </w:pPr>
      <w:rPr>
        <w:rFonts w:ascii="Arial" w:hAnsi="Arial" w:hint="default"/>
      </w:rPr>
    </w:lvl>
    <w:lvl w:ilvl="5" w:tplc="07628990" w:tentative="1">
      <w:start w:val="1"/>
      <w:numFmt w:val="bullet"/>
      <w:lvlText w:val="•"/>
      <w:lvlJc w:val="left"/>
      <w:pPr>
        <w:tabs>
          <w:tab w:val="num" w:pos="4320"/>
        </w:tabs>
        <w:ind w:left="4320" w:hanging="360"/>
      </w:pPr>
      <w:rPr>
        <w:rFonts w:ascii="Arial" w:hAnsi="Arial" w:hint="default"/>
      </w:rPr>
    </w:lvl>
    <w:lvl w:ilvl="6" w:tplc="C6625AA8" w:tentative="1">
      <w:start w:val="1"/>
      <w:numFmt w:val="bullet"/>
      <w:lvlText w:val="•"/>
      <w:lvlJc w:val="left"/>
      <w:pPr>
        <w:tabs>
          <w:tab w:val="num" w:pos="5040"/>
        </w:tabs>
        <w:ind w:left="5040" w:hanging="360"/>
      </w:pPr>
      <w:rPr>
        <w:rFonts w:ascii="Arial" w:hAnsi="Arial" w:hint="default"/>
      </w:rPr>
    </w:lvl>
    <w:lvl w:ilvl="7" w:tplc="4314D804" w:tentative="1">
      <w:start w:val="1"/>
      <w:numFmt w:val="bullet"/>
      <w:lvlText w:val="•"/>
      <w:lvlJc w:val="left"/>
      <w:pPr>
        <w:tabs>
          <w:tab w:val="num" w:pos="5760"/>
        </w:tabs>
        <w:ind w:left="5760" w:hanging="360"/>
      </w:pPr>
      <w:rPr>
        <w:rFonts w:ascii="Arial" w:hAnsi="Arial" w:hint="default"/>
      </w:rPr>
    </w:lvl>
    <w:lvl w:ilvl="8" w:tplc="A4327F3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F950564"/>
    <w:multiLevelType w:val="hybridMultilevel"/>
    <w:tmpl w:val="D49C1F4E"/>
    <w:lvl w:ilvl="0" w:tplc="439406D6">
      <w:start w:val="1"/>
      <w:numFmt w:val="bullet"/>
      <w:lvlText w:val="•"/>
      <w:lvlJc w:val="left"/>
      <w:pPr>
        <w:tabs>
          <w:tab w:val="num" w:pos="720"/>
        </w:tabs>
        <w:ind w:left="720" w:hanging="360"/>
      </w:pPr>
      <w:rPr>
        <w:rFonts w:ascii="Arial" w:hAnsi="Arial" w:hint="default"/>
      </w:rPr>
    </w:lvl>
    <w:lvl w:ilvl="1" w:tplc="7D6650D4" w:tentative="1">
      <w:start w:val="1"/>
      <w:numFmt w:val="bullet"/>
      <w:lvlText w:val="•"/>
      <w:lvlJc w:val="left"/>
      <w:pPr>
        <w:tabs>
          <w:tab w:val="num" w:pos="1440"/>
        </w:tabs>
        <w:ind w:left="1440" w:hanging="360"/>
      </w:pPr>
      <w:rPr>
        <w:rFonts w:ascii="Arial" w:hAnsi="Arial" w:hint="default"/>
      </w:rPr>
    </w:lvl>
    <w:lvl w:ilvl="2" w:tplc="25A457E6" w:tentative="1">
      <w:start w:val="1"/>
      <w:numFmt w:val="bullet"/>
      <w:lvlText w:val="•"/>
      <w:lvlJc w:val="left"/>
      <w:pPr>
        <w:tabs>
          <w:tab w:val="num" w:pos="2160"/>
        </w:tabs>
        <w:ind w:left="2160" w:hanging="360"/>
      </w:pPr>
      <w:rPr>
        <w:rFonts w:ascii="Arial" w:hAnsi="Arial" w:hint="default"/>
      </w:rPr>
    </w:lvl>
    <w:lvl w:ilvl="3" w:tplc="9B3AABC2" w:tentative="1">
      <w:start w:val="1"/>
      <w:numFmt w:val="bullet"/>
      <w:lvlText w:val="•"/>
      <w:lvlJc w:val="left"/>
      <w:pPr>
        <w:tabs>
          <w:tab w:val="num" w:pos="2880"/>
        </w:tabs>
        <w:ind w:left="2880" w:hanging="360"/>
      </w:pPr>
      <w:rPr>
        <w:rFonts w:ascii="Arial" w:hAnsi="Arial" w:hint="default"/>
      </w:rPr>
    </w:lvl>
    <w:lvl w:ilvl="4" w:tplc="DE564480" w:tentative="1">
      <w:start w:val="1"/>
      <w:numFmt w:val="bullet"/>
      <w:lvlText w:val="•"/>
      <w:lvlJc w:val="left"/>
      <w:pPr>
        <w:tabs>
          <w:tab w:val="num" w:pos="3600"/>
        </w:tabs>
        <w:ind w:left="3600" w:hanging="360"/>
      </w:pPr>
      <w:rPr>
        <w:rFonts w:ascii="Arial" w:hAnsi="Arial" w:hint="default"/>
      </w:rPr>
    </w:lvl>
    <w:lvl w:ilvl="5" w:tplc="6FDE3064" w:tentative="1">
      <w:start w:val="1"/>
      <w:numFmt w:val="bullet"/>
      <w:lvlText w:val="•"/>
      <w:lvlJc w:val="left"/>
      <w:pPr>
        <w:tabs>
          <w:tab w:val="num" w:pos="4320"/>
        </w:tabs>
        <w:ind w:left="4320" w:hanging="360"/>
      </w:pPr>
      <w:rPr>
        <w:rFonts w:ascii="Arial" w:hAnsi="Arial" w:hint="default"/>
      </w:rPr>
    </w:lvl>
    <w:lvl w:ilvl="6" w:tplc="F126C576" w:tentative="1">
      <w:start w:val="1"/>
      <w:numFmt w:val="bullet"/>
      <w:lvlText w:val="•"/>
      <w:lvlJc w:val="left"/>
      <w:pPr>
        <w:tabs>
          <w:tab w:val="num" w:pos="5040"/>
        </w:tabs>
        <w:ind w:left="5040" w:hanging="360"/>
      </w:pPr>
      <w:rPr>
        <w:rFonts w:ascii="Arial" w:hAnsi="Arial" w:hint="default"/>
      </w:rPr>
    </w:lvl>
    <w:lvl w:ilvl="7" w:tplc="E30AB68C" w:tentative="1">
      <w:start w:val="1"/>
      <w:numFmt w:val="bullet"/>
      <w:lvlText w:val="•"/>
      <w:lvlJc w:val="left"/>
      <w:pPr>
        <w:tabs>
          <w:tab w:val="num" w:pos="5760"/>
        </w:tabs>
        <w:ind w:left="5760" w:hanging="360"/>
      </w:pPr>
      <w:rPr>
        <w:rFonts w:ascii="Arial" w:hAnsi="Arial" w:hint="default"/>
      </w:rPr>
    </w:lvl>
    <w:lvl w:ilvl="8" w:tplc="B9C06C9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38641F"/>
    <w:multiLevelType w:val="hybridMultilevel"/>
    <w:tmpl w:val="9CA86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1D2C12"/>
    <w:multiLevelType w:val="hybridMultilevel"/>
    <w:tmpl w:val="D6A40D54"/>
    <w:lvl w:ilvl="0" w:tplc="D33A159A">
      <w:start w:val="1"/>
      <w:numFmt w:val="bullet"/>
      <w:lvlText w:val="•"/>
      <w:lvlJc w:val="left"/>
      <w:pPr>
        <w:tabs>
          <w:tab w:val="num" w:pos="720"/>
        </w:tabs>
        <w:ind w:left="720" w:hanging="360"/>
      </w:pPr>
      <w:rPr>
        <w:rFonts w:ascii="Arial" w:hAnsi="Arial" w:hint="default"/>
      </w:rPr>
    </w:lvl>
    <w:lvl w:ilvl="1" w:tplc="139ED990">
      <w:start w:val="183"/>
      <w:numFmt w:val="bullet"/>
      <w:lvlText w:val="–"/>
      <w:lvlJc w:val="left"/>
      <w:pPr>
        <w:tabs>
          <w:tab w:val="num" w:pos="1440"/>
        </w:tabs>
        <w:ind w:left="1440" w:hanging="360"/>
      </w:pPr>
      <w:rPr>
        <w:rFonts w:ascii="Arial" w:hAnsi="Arial" w:hint="default"/>
      </w:rPr>
    </w:lvl>
    <w:lvl w:ilvl="2" w:tplc="E6C6EFA6" w:tentative="1">
      <w:start w:val="1"/>
      <w:numFmt w:val="bullet"/>
      <w:lvlText w:val="•"/>
      <w:lvlJc w:val="left"/>
      <w:pPr>
        <w:tabs>
          <w:tab w:val="num" w:pos="2160"/>
        </w:tabs>
        <w:ind w:left="2160" w:hanging="360"/>
      </w:pPr>
      <w:rPr>
        <w:rFonts w:ascii="Arial" w:hAnsi="Arial" w:hint="default"/>
      </w:rPr>
    </w:lvl>
    <w:lvl w:ilvl="3" w:tplc="3634D8AE" w:tentative="1">
      <w:start w:val="1"/>
      <w:numFmt w:val="bullet"/>
      <w:lvlText w:val="•"/>
      <w:lvlJc w:val="left"/>
      <w:pPr>
        <w:tabs>
          <w:tab w:val="num" w:pos="2880"/>
        </w:tabs>
        <w:ind w:left="2880" w:hanging="360"/>
      </w:pPr>
      <w:rPr>
        <w:rFonts w:ascii="Arial" w:hAnsi="Arial" w:hint="default"/>
      </w:rPr>
    </w:lvl>
    <w:lvl w:ilvl="4" w:tplc="239ECC84" w:tentative="1">
      <w:start w:val="1"/>
      <w:numFmt w:val="bullet"/>
      <w:lvlText w:val="•"/>
      <w:lvlJc w:val="left"/>
      <w:pPr>
        <w:tabs>
          <w:tab w:val="num" w:pos="3600"/>
        </w:tabs>
        <w:ind w:left="3600" w:hanging="360"/>
      </w:pPr>
      <w:rPr>
        <w:rFonts w:ascii="Arial" w:hAnsi="Arial" w:hint="default"/>
      </w:rPr>
    </w:lvl>
    <w:lvl w:ilvl="5" w:tplc="60307E3E" w:tentative="1">
      <w:start w:val="1"/>
      <w:numFmt w:val="bullet"/>
      <w:lvlText w:val="•"/>
      <w:lvlJc w:val="left"/>
      <w:pPr>
        <w:tabs>
          <w:tab w:val="num" w:pos="4320"/>
        </w:tabs>
        <w:ind w:left="4320" w:hanging="360"/>
      </w:pPr>
      <w:rPr>
        <w:rFonts w:ascii="Arial" w:hAnsi="Arial" w:hint="default"/>
      </w:rPr>
    </w:lvl>
    <w:lvl w:ilvl="6" w:tplc="A64E977E" w:tentative="1">
      <w:start w:val="1"/>
      <w:numFmt w:val="bullet"/>
      <w:lvlText w:val="•"/>
      <w:lvlJc w:val="left"/>
      <w:pPr>
        <w:tabs>
          <w:tab w:val="num" w:pos="5040"/>
        </w:tabs>
        <w:ind w:left="5040" w:hanging="360"/>
      </w:pPr>
      <w:rPr>
        <w:rFonts w:ascii="Arial" w:hAnsi="Arial" w:hint="default"/>
      </w:rPr>
    </w:lvl>
    <w:lvl w:ilvl="7" w:tplc="3F32E414" w:tentative="1">
      <w:start w:val="1"/>
      <w:numFmt w:val="bullet"/>
      <w:lvlText w:val="•"/>
      <w:lvlJc w:val="left"/>
      <w:pPr>
        <w:tabs>
          <w:tab w:val="num" w:pos="5760"/>
        </w:tabs>
        <w:ind w:left="5760" w:hanging="360"/>
      </w:pPr>
      <w:rPr>
        <w:rFonts w:ascii="Arial" w:hAnsi="Arial" w:hint="default"/>
      </w:rPr>
    </w:lvl>
    <w:lvl w:ilvl="8" w:tplc="6A26C5F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BF40AD9"/>
    <w:multiLevelType w:val="hybridMultilevel"/>
    <w:tmpl w:val="A6C8C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E32A2C"/>
    <w:multiLevelType w:val="hybridMultilevel"/>
    <w:tmpl w:val="47D40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C44204"/>
    <w:multiLevelType w:val="hybridMultilevel"/>
    <w:tmpl w:val="97844D98"/>
    <w:lvl w:ilvl="0" w:tplc="2736A60C">
      <w:start w:val="1"/>
      <w:numFmt w:val="bullet"/>
      <w:lvlText w:val="•"/>
      <w:lvlJc w:val="left"/>
      <w:pPr>
        <w:tabs>
          <w:tab w:val="num" w:pos="720"/>
        </w:tabs>
        <w:ind w:left="720" w:hanging="360"/>
      </w:pPr>
      <w:rPr>
        <w:rFonts w:ascii="Arial" w:hAnsi="Arial" w:hint="default"/>
      </w:rPr>
    </w:lvl>
    <w:lvl w:ilvl="1" w:tplc="855A395C" w:tentative="1">
      <w:start w:val="1"/>
      <w:numFmt w:val="bullet"/>
      <w:lvlText w:val="•"/>
      <w:lvlJc w:val="left"/>
      <w:pPr>
        <w:tabs>
          <w:tab w:val="num" w:pos="1440"/>
        </w:tabs>
        <w:ind w:left="1440" w:hanging="360"/>
      </w:pPr>
      <w:rPr>
        <w:rFonts w:ascii="Arial" w:hAnsi="Arial" w:hint="default"/>
      </w:rPr>
    </w:lvl>
    <w:lvl w:ilvl="2" w:tplc="DE4CB2B8" w:tentative="1">
      <w:start w:val="1"/>
      <w:numFmt w:val="bullet"/>
      <w:lvlText w:val="•"/>
      <w:lvlJc w:val="left"/>
      <w:pPr>
        <w:tabs>
          <w:tab w:val="num" w:pos="2160"/>
        </w:tabs>
        <w:ind w:left="2160" w:hanging="360"/>
      </w:pPr>
      <w:rPr>
        <w:rFonts w:ascii="Arial" w:hAnsi="Arial" w:hint="default"/>
      </w:rPr>
    </w:lvl>
    <w:lvl w:ilvl="3" w:tplc="BFF003AC" w:tentative="1">
      <w:start w:val="1"/>
      <w:numFmt w:val="bullet"/>
      <w:lvlText w:val="•"/>
      <w:lvlJc w:val="left"/>
      <w:pPr>
        <w:tabs>
          <w:tab w:val="num" w:pos="2880"/>
        </w:tabs>
        <w:ind w:left="2880" w:hanging="360"/>
      </w:pPr>
      <w:rPr>
        <w:rFonts w:ascii="Arial" w:hAnsi="Arial" w:hint="default"/>
      </w:rPr>
    </w:lvl>
    <w:lvl w:ilvl="4" w:tplc="53847782" w:tentative="1">
      <w:start w:val="1"/>
      <w:numFmt w:val="bullet"/>
      <w:lvlText w:val="•"/>
      <w:lvlJc w:val="left"/>
      <w:pPr>
        <w:tabs>
          <w:tab w:val="num" w:pos="3600"/>
        </w:tabs>
        <w:ind w:left="3600" w:hanging="360"/>
      </w:pPr>
      <w:rPr>
        <w:rFonts w:ascii="Arial" w:hAnsi="Arial" w:hint="default"/>
      </w:rPr>
    </w:lvl>
    <w:lvl w:ilvl="5" w:tplc="477EFF6E" w:tentative="1">
      <w:start w:val="1"/>
      <w:numFmt w:val="bullet"/>
      <w:lvlText w:val="•"/>
      <w:lvlJc w:val="left"/>
      <w:pPr>
        <w:tabs>
          <w:tab w:val="num" w:pos="4320"/>
        </w:tabs>
        <w:ind w:left="4320" w:hanging="360"/>
      </w:pPr>
      <w:rPr>
        <w:rFonts w:ascii="Arial" w:hAnsi="Arial" w:hint="default"/>
      </w:rPr>
    </w:lvl>
    <w:lvl w:ilvl="6" w:tplc="EB1E851A" w:tentative="1">
      <w:start w:val="1"/>
      <w:numFmt w:val="bullet"/>
      <w:lvlText w:val="•"/>
      <w:lvlJc w:val="left"/>
      <w:pPr>
        <w:tabs>
          <w:tab w:val="num" w:pos="5040"/>
        </w:tabs>
        <w:ind w:left="5040" w:hanging="360"/>
      </w:pPr>
      <w:rPr>
        <w:rFonts w:ascii="Arial" w:hAnsi="Arial" w:hint="default"/>
      </w:rPr>
    </w:lvl>
    <w:lvl w:ilvl="7" w:tplc="CC8CD0DA" w:tentative="1">
      <w:start w:val="1"/>
      <w:numFmt w:val="bullet"/>
      <w:lvlText w:val="•"/>
      <w:lvlJc w:val="left"/>
      <w:pPr>
        <w:tabs>
          <w:tab w:val="num" w:pos="5760"/>
        </w:tabs>
        <w:ind w:left="5760" w:hanging="360"/>
      </w:pPr>
      <w:rPr>
        <w:rFonts w:ascii="Arial" w:hAnsi="Arial" w:hint="default"/>
      </w:rPr>
    </w:lvl>
    <w:lvl w:ilvl="8" w:tplc="ED380F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05029E0"/>
    <w:multiLevelType w:val="hybridMultilevel"/>
    <w:tmpl w:val="7F461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2A699C"/>
    <w:multiLevelType w:val="hybridMultilevel"/>
    <w:tmpl w:val="87FC456A"/>
    <w:lvl w:ilvl="0" w:tplc="47DAC3CA">
      <w:start w:val="1"/>
      <w:numFmt w:val="bullet"/>
      <w:lvlText w:val="•"/>
      <w:lvlJc w:val="left"/>
      <w:pPr>
        <w:tabs>
          <w:tab w:val="num" w:pos="720"/>
        </w:tabs>
        <w:ind w:left="720" w:hanging="360"/>
      </w:pPr>
      <w:rPr>
        <w:rFonts w:ascii="Arial" w:hAnsi="Arial" w:hint="default"/>
      </w:rPr>
    </w:lvl>
    <w:lvl w:ilvl="1" w:tplc="D93A138A" w:tentative="1">
      <w:start w:val="1"/>
      <w:numFmt w:val="bullet"/>
      <w:lvlText w:val="•"/>
      <w:lvlJc w:val="left"/>
      <w:pPr>
        <w:tabs>
          <w:tab w:val="num" w:pos="1440"/>
        </w:tabs>
        <w:ind w:left="1440" w:hanging="360"/>
      </w:pPr>
      <w:rPr>
        <w:rFonts w:ascii="Arial" w:hAnsi="Arial" w:hint="default"/>
      </w:rPr>
    </w:lvl>
    <w:lvl w:ilvl="2" w:tplc="D738FB72" w:tentative="1">
      <w:start w:val="1"/>
      <w:numFmt w:val="bullet"/>
      <w:lvlText w:val="•"/>
      <w:lvlJc w:val="left"/>
      <w:pPr>
        <w:tabs>
          <w:tab w:val="num" w:pos="2160"/>
        </w:tabs>
        <w:ind w:left="2160" w:hanging="360"/>
      </w:pPr>
      <w:rPr>
        <w:rFonts w:ascii="Arial" w:hAnsi="Arial" w:hint="default"/>
      </w:rPr>
    </w:lvl>
    <w:lvl w:ilvl="3" w:tplc="094E5A1A" w:tentative="1">
      <w:start w:val="1"/>
      <w:numFmt w:val="bullet"/>
      <w:lvlText w:val="•"/>
      <w:lvlJc w:val="left"/>
      <w:pPr>
        <w:tabs>
          <w:tab w:val="num" w:pos="2880"/>
        </w:tabs>
        <w:ind w:left="2880" w:hanging="360"/>
      </w:pPr>
      <w:rPr>
        <w:rFonts w:ascii="Arial" w:hAnsi="Arial" w:hint="default"/>
      </w:rPr>
    </w:lvl>
    <w:lvl w:ilvl="4" w:tplc="F780A99C" w:tentative="1">
      <w:start w:val="1"/>
      <w:numFmt w:val="bullet"/>
      <w:lvlText w:val="•"/>
      <w:lvlJc w:val="left"/>
      <w:pPr>
        <w:tabs>
          <w:tab w:val="num" w:pos="3600"/>
        </w:tabs>
        <w:ind w:left="3600" w:hanging="360"/>
      </w:pPr>
      <w:rPr>
        <w:rFonts w:ascii="Arial" w:hAnsi="Arial" w:hint="default"/>
      </w:rPr>
    </w:lvl>
    <w:lvl w:ilvl="5" w:tplc="4B7059B2" w:tentative="1">
      <w:start w:val="1"/>
      <w:numFmt w:val="bullet"/>
      <w:lvlText w:val="•"/>
      <w:lvlJc w:val="left"/>
      <w:pPr>
        <w:tabs>
          <w:tab w:val="num" w:pos="4320"/>
        </w:tabs>
        <w:ind w:left="4320" w:hanging="360"/>
      </w:pPr>
      <w:rPr>
        <w:rFonts w:ascii="Arial" w:hAnsi="Arial" w:hint="default"/>
      </w:rPr>
    </w:lvl>
    <w:lvl w:ilvl="6" w:tplc="7220D8A2" w:tentative="1">
      <w:start w:val="1"/>
      <w:numFmt w:val="bullet"/>
      <w:lvlText w:val="•"/>
      <w:lvlJc w:val="left"/>
      <w:pPr>
        <w:tabs>
          <w:tab w:val="num" w:pos="5040"/>
        </w:tabs>
        <w:ind w:left="5040" w:hanging="360"/>
      </w:pPr>
      <w:rPr>
        <w:rFonts w:ascii="Arial" w:hAnsi="Arial" w:hint="default"/>
      </w:rPr>
    </w:lvl>
    <w:lvl w:ilvl="7" w:tplc="665418F6" w:tentative="1">
      <w:start w:val="1"/>
      <w:numFmt w:val="bullet"/>
      <w:lvlText w:val="•"/>
      <w:lvlJc w:val="left"/>
      <w:pPr>
        <w:tabs>
          <w:tab w:val="num" w:pos="5760"/>
        </w:tabs>
        <w:ind w:left="5760" w:hanging="360"/>
      </w:pPr>
      <w:rPr>
        <w:rFonts w:ascii="Arial" w:hAnsi="Arial" w:hint="default"/>
      </w:rPr>
    </w:lvl>
    <w:lvl w:ilvl="8" w:tplc="0A1E7E3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530020D"/>
    <w:multiLevelType w:val="hybridMultilevel"/>
    <w:tmpl w:val="CDEC737A"/>
    <w:lvl w:ilvl="0" w:tplc="0C090001">
      <w:start w:val="1"/>
      <w:numFmt w:val="bullet"/>
      <w:lvlText w:val=""/>
      <w:lvlJc w:val="left"/>
      <w:pPr>
        <w:tabs>
          <w:tab w:val="num" w:pos="720"/>
        </w:tabs>
        <w:ind w:left="720" w:hanging="360"/>
      </w:pPr>
      <w:rPr>
        <w:rFonts w:ascii="Symbol" w:hAnsi="Symbol" w:hint="default"/>
      </w:rPr>
    </w:lvl>
    <w:lvl w:ilvl="1" w:tplc="C9765B08" w:tentative="1">
      <w:start w:val="1"/>
      <w:numFmt w:val="bullet"/>
      <w:lvlText w:val="•"/>
      <w:lvlJc w:val="left"/>
      <w:pPr>
        <w:tabs>
          <w:tab w:val="num" w:pos="1440"/>
        </w:tabs>
        <w:ind w:left="1440" w:hanging="360"/>
      </w:pPr>
      <w:rPr>
        <w:rFonts w:ascii="Arial" w:hAnsi="Arial" w:hint="default"/>
      </w:rPr>
    </w:lvl>
    <w:lvl w:ilvl="2" w:tplc="A02AE2F8" w:tentative="1">
      <w:start w:val="1"/>
      <w:numFmt w:val="bullet"/>
      <w:lvlText w:val="•"/>
      <w:lvlJc w:val="left"/>
      <w:pPr>
        <w:tabs>
          <w:tab w:val="num" w:pos="2160"/>
        </w:tabs>
        <w:ind w:left="2160" w:hanging="360"/>
      </w:pPr>
      <w:rPr>
        <w:rFonts w:ascii="Arial" w:hAnsi="Arial" w:hint="default"/>
      </w:rPr>
    </w:lvl>
    <w:lvl w:ilvl="3" w:tplc="BEEC190A" w:tentative="1">
      <w:start w:val="1"/>
      <w:numFmt w:val="bullet"/>
      <w:lvlText w:val="•"/>
      <w:lvlJc w:val="left"/>
      <w:pPr>
        <w:tabs>
          <w:tab w:val="num" w:pos="2880"/>
        </w:tabs>
        <w:ind w:left="2880" w:hanging="360"/>
      </w:pPr>
      <w:rPr>
        <w:rFonts w:ascii="Arial" w:hAnsi="Arial" w:hint="default"/>
      </w:rPr>
    </w:lvl>
    <w:lvl w:ilvl="4" w:tplc="E1727774" w:tentative="1">
      <w:start w:val="1"/>
      <w:numFmt w:val="bullet"/>
      <w:lvlText w:val="•"/>
      <w:lvlJc w:val="left"/>
      <w:pPr>
        <w:tabs>
          <w:tab w:val="num" w:pos="3600"/>
        </w:tabs>
        <w:ind w:left="3600" w:hanging="360"/>
      </w:pPr>
      <w:rPr>
        <w:rFonts w:ascii="Arial" w:hAnsi="Arial" w:hint="default"/>
      </w:rPr>
    </w:lvl>
    <w:lvl w:ilvl="5" w:tplc="34F64698" w:tentative="1">
      <w:start w:val="1"/>
      <w:numFmt w:val="bullet"/>
      <w:lvlText w:val="•"/>
      <w:lvlJc w:val="left"/>
      <w:pPr>
        <w:tabs>
          <w:tab w:val="num" w:pos="4320"/>
        </w:tabs>
        <w:ind w:left="4320" w:hanging="360"/>
      </w:pPr>
      <w:rPr>
        <w:rFonts w:ascii="Arial" w:hAnsi="Arial" w:hint="default"/>
      </w:rPr>
    </w:lvl>
    <w:lvl w:ilvl="6" w:tplc="84E6F0CE" w:tentative="1">
      <w:start w:val="1"/>
      <w:numFmt w:val="bullet"/>
      <w:lvlText w:val="•"/>
      <w:lvlJc w:val="left"/>
      <w:pPr>
        <w:tabs>
          <w:tab w:val="num" w:pos="5040"/>
        </w:tabs>
        <w:ind w:left="5040" w:hanging="360"/>
      </w:pPr>
      <w:rPr>
        <w:rFonts w:ascii="Arial" w:hAnsi="Arial" w:hint="default"/>
      </w:rPr>
    </w:lvl>
    <w:lvl w:ilvl="7" w:tplc="D8826B46" w:tentative="1">
      <w:start w:val="1"/>
      <w:numFmt w:val="bullet"/>
      <w:lvlText w:val="•"/>
      <w:lvlJc w:val="left"/>
      <w:pPr>
        <w:tabs>
          <w:tab w:val="num" w:pos="5760"/>
        </w:tabs>
        <w:ind w:left="5760" w:hanging="360"/>
      </w:pPr>
      <w:rPr>
        <w:rFonts w:ascii="Arial" w:hAnsi="Arial" w:hint="default"/>
      </w:rPr>
    </w:lvl>
    <w:lvl w:ilvl="8" w:tplc="BD0A9A9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625377E"/>
    <w:multiLevelType w:val="hybridMultilevel"/>
    <w:tmpl w:val="9CEC9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C1432B"/>
    <w:multiLevelType w:val="hybridMultilevel"/>
    <w:tmpl w:val="05A4B14C"/>
    <w:lvl w:ilvl="0" w:tplc="34C26440">
      <w:start w:val="1"/>
      <w:numFmt w:val="bullet"/>
      <w:lvlText w:val="•"/>
      <w:lvlJc w:val="left"/>
      <w:pPr>
        <w:tabs>
          <w:tab w:val="num" w:pos="720"/>
        </w:tabs>
        <w:ind w:left="720" w:hanging="360"/>
      </w:pPr>
      <w:rPr>
        <w:rFonts w:ascii="Arial" w:hAnsi="Arial" w:hint="default"/>
      </w:rPr>
    </w:lvl>
    <w:lvl w:ilvl="1" w:tplc="484258B4" w:tentative="1">
      <w:start w:val="1"/>
      <w:numFmt w:val="bullet"/>
      <w:lvlText w:val="•"/>
      <w:lvlJc w:val="left"/>
      <w:pPr>
        <w:tabs>
          <w:tab w:val="num" w:pos="1440"/>
        </w:tabs>
        <w:ind w:left="1440" w:hanging="360"/>
      </w:pPr>
      <w:rPr>
        <w:rFonts w:ascii="Arial" w:hAnsi="Arial" w:hint="default"/>
      </w:rPr>
    </w:lvl>
    <w:lvl w:ilvl="2" w:tplc="89167BA4" w:tentative="1">
      <w:start w:val="1"/>
      <w:numFmt w:val="bullet"/>
      <w:lvlText w:val="•"/>
      <w:lvlJc w:val="left"/>
      <w:pPr>
        <w:tabs>
          <w:tab w:val="num" w:pos="2160"/>
        </w:tabs>
        <w:ind w:left="2160" w:hanging="360"/>
      </w:pPr>
      <w:rPr>
        <w:rFonts w:ascii="Arial" w:hAnsi="Arial" w:hint="default"/>
      </w:rPr>
    </w:lvl>
    <w:lvl w:ilvl="3" w:tplc="AC408F06" w:tentative="1">
      <w:start w:val="1"/>
      <w:numFmt w:val="bullet"/>
      <w:lvlText w:val="•"/>
      <w:lvlJc w:val="left"/>
      <w:pPr>
        <w:tabs>
          <w:tab w:val="num" w:pos="2880"/>
        </w:tabs>
        <w:ind w:left="2880" w:hanging="360"/>
      </w:pPr>
      <w:rPr>
        <w:rFonts w:ascii="Arial" w:hAnsi="Arial" w:hint="default"/>
      </w:rPr>
    </w:lvl>
    <w:lvl w:ilvl="4" w:tplc="52700FD2" w:tentative="1">
      <w:start w:val="1"/>
      <w:numFmt w:val="bullet"/>
      <w:lvlText w:val="•"/>
      <w:lvlJc w:val="left"/>
      <w:pPr>
        <w:tabs>
          <w:tab w:val="num" w:pos="3600"/>
        </w:tabs>
        <w:ind w:left="3600" w:hanging="360"/>
      </w:pPr>
      <w:rPr>
        <w:rFonts w:ascii="Arial" w:hAnsi="Arial" w:hint="default"/>
      </w:rPr>
    </w:lvl>
    <w:lvl w:ilvl="5" w:tplc="335CA9BE" w:tentative="1">
      <w:start w:val="1"/>
      <w:numFmt w:val="bullet"/>
      <w:lvlText w:val="•"/>
      <w:lvlJc w:val="left"/>
      <w:pPr>
        <w:tabs>
          <w:tab w:val="num" w:pos="4320"/>
        </w:tabs>
        <w:ind w:left="4320" w:hanging="360"/>
      </w:pPr>
      <w:rPr>
        <w:rFonts w:ascii="Arial" w:hAnsi="Arial" w:hint="default"/>
      </w:rPr>
    </w:lvl>
    <w:lvl w:ilvl="6" w:tplc="93300598" w:tentative="1">
      <w:start w:val="1"/>
      <w:numFmt w:val="bullet"/>
      <w:lvlText w:val="•"/>
      <w:lvlJc w:val="left"/>
      <w:pPr>
        <w:tabs>
          <w:tab w:val="num" w:pos="5040"/>
        </w:tabs>
        <w:ind w:left="5040" w:hanging="360"/>
      </w:pPr>
      <w:rPr>
        <w:rFonts w:ascii="Arial" w:hAnsi="Arial" w:hint="default"/>
      </w:rPr>
    </w:lvl>
    <w:lvl w:ilvl="7" w:tplc="DAB4E760" w:tentative="1">
      <w:start w:val="1"/>
      <w:numFmt w:val="bullet"/>
      <w:lvlText w:val="•"/>
      <w:lvlJc w:val="left"/>
      <w:pPr>
        <w:tabs>
          <w:tab w:val="num" w:pos="5760"/>
        </w:tabs>
        <w:ind w:left="5760" w:hanging="360"/>
      </w:pPr>
      <w:rPr>
        <w:rFonts w:ascii="Arial" w:hAnsi="Arial" w:hint="default"/>
      </w:rPr>
    </w:lvl>
    <w:lvl w:ilvl="8" w:tplc="D27C9F9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4"/>
  </w:num>
  <w:num w:numId="3">
    <w:abstractNumId w:val="21"/>
  </w:num>
  <w:num w:numId="4">
    <w:abstractNumId w:val="20"/>
  </w:num>
  <w:num w:numId="5">
    <w:abstractNumId w:val="1"/>
  </w:num>
  <w:num w:numId="6">
    <w:abstractNumId w:val="12"/>
  </w:num>
  <w:num w:numId="7">
    <w:abstractNumId w:val="23"/>
  </w:num>
  <w:num w:numId="8">
    <w:abstractNumId w:val="14"/>
  </w:num>
  <w:num w:numId="9">
    <w:abstractNumId w:val="7"/>
  </w:num>
  <w:num w:numId="10">
    <w:abstractNumId w:val="13"/>
  </w:num>
  <w:num w:numId="11">
    <w:abstractNumId w:val="11"/>
  </w:num>
  <w:num w:numId="12">
    <w:abstractNumId w:val="10"/>
  </w:num>
  <w:num w:numId="13">
    <w:abstractNumId w:val="17"/>
  </w:num>
  <w:num w:numId="14">
    <w:abstractNumId w:val="15"/>
  </w:num>
  <w:num w:numId="15">
    <w:abstractNumId w:val="9"/>
  </w:num>
  <w:num w:numId="16">
    <w:abstractNumId w:val="6"/>
  </w:num>
  <w:num w:numId="17">
    <w:abstractNumId w:val="8"/>
  </w:num>
  <w:num w:numId="18">
    <w:abstractNumId w:val="5"/>
  </w:num>
  <w:num w:numId="19">
    <w:abstractNumId w:val="22"/>
  </w:num>
  <w:num w:numId="20">
    <w:abstractNumId w:val="3"/>
  </w:num>
  <w:num w:numId="21">
    <w:abstractNumId w:val="19"/>
  </w:num>
  <w:num w:numId="22">
    <w:abstractNumId w:val="2"/>
  </w:num>
  <w:num w:numId="23">
    <w:abstractNumId w:val="16"/>
  </w:num>
  <w:num w:numId="24">
    <w:abstractNumId w:val="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458"/>
    <w:rsid w:val="0001796D"/>
    <w:rsid w:val="000262D2"/>
    <w:rsid w:val="00030B00"/>
    <w:rsid w:val="00032A2E"/>
    <w:rsid w:val="0003546D"/>
    <w:rsid w:val="00037ADD"/>
    <w:rsid w:val="00093D0F"/>
    <w:rsid w:val="000B79DE"/>
    <w:rsid w:val="000C1532"/>
    <w:rsid w:val="000E180B"/>
    <w:rsid w:val="000F0A01"/>
    <w:rsid w:val="000F2EE2"/>
    <w:rsid w:val="0011067A"/>
    <w:rsid w:val="00117C2B"/>
    <w:rsid w:val="001238DC"/>
    <w:rsid w:val="00132707"/>
    <w:rsid w:val="00162F0E"/>
    <w:rsid w:val="00184A50"/>
    <w:rsid w:val="001866E2"/>
    <w:rsid w:val="00187459"/>
    <w:rsid w:val="00190638"/>
    <w:rsid w:val="001B0EBD"/>
    <w:rsid w:val="001B10D9"/>
    <w:rsid w:val="001B4178"/>
    <w:rsid w:val="001C10D0"/>
    <w:rsid w:val="001C25AF"/>
    <w:rsid w:val="001F326E"/>
    <w:rsid w:val="00203846"/>
    <w:rsid w:val="00203EE1"/>
    <w:rsid w:val="0021627E"/>
    <w:rsid w:val="00222F75"/>
    <w:rsid w:val="00223290"/>
    <w:rsid w:val="00225FB6"/>
    <w:rsid w:val="00236108"/>
    <w:rsid w:val="00250595"/>
    <w:rsid w:val="00260C35"/>
    <w:rsid w:val="002956A6"/>
    <w:rsid w:val="002B38CA"/>
    <w:rsid w:val="002C3461"/>
    <w:rsid w:val="002C5995"/>
    <w:rsid w:val="002D57B8"/>
    <w:rsid w:val="002E47EF"/>
    <w:rsid w:val="002F1A87"/>
    <w:rsid w:val="002F70B5"/>
    <w:rsid w:val="0032169E"/>
    <w:rsid w:val="00323055"/>
    <w:rsid w:val="003302E1"/>
    <w:rsid w:val="003305A3"/>
    <w:rsid w:val="00337DCD"/>
    <w:rsid w:val="00350F96"/>
    <w:rsid w:val="003929A7"/>
    <w:rsid w:val="003972A8"/>
    <w:rsid w:val="003A42B2"/>
    <w:rsid w:val="003C131D"/>
    <w:rsid w:val="003C1917"/>
    <w:rsid w:val="003C68B0"/>
    <w:rsid w:val="0040606C"/>
    <w:rsid w:val="004074ED"/>
    <w:rsid w:val="00447212"/>
    <w:rsid w:val="00447BB9"/>
    <w:rsid w:val="0045220E"/>
    <w:rsid w:val="00463437"/>
    <w:rsid w:val="004639DA"/>
    <w:rsid w:val="00470E0C"/>
    <w:rsid w:val="0049051F"/>
    <w:rsid w:val="004D4253"/>
    <w:rsid w:val="004D7E64"/>
    <w:rsid w:val="004E0E16"/>
    <w:rsid w:val="004E15E1"/>
    <w:rsid w:val="004E407B"/>
    <w:rsid w:val="005070F5"/>
    <w:rsid w:val="00521F63"/>
    <w:rsid w:val="005327C1"/>
    <w:rsid w:val="005427B6"/>
    <w:rsid w:val="005544CC"/>
    <w:rsid w:val="005619EB"/>
    <w:rsid w:val="005A7486"/>
    <w:rsid w:val="005A7B3B"/>
    <w:rsid w:val="005B21C3"/>
    <w:rsid w:val="005E2E42"/>
    <w:rsid w:val="005F1B25"/>
    <w:rsid w:val="006227D2"/>
    <w:rsid w:val="00642F8F"/>
    <w:rsid w:val="006478BD"/>
    <w:rsid w:val="00653BA7"/>
    <w:rsid w:val="00660B30"/>
    <w:rsid w:val="00682833"/>
    <w:rsid w:val="00690338"/>
    <w:rsid w:val="006A4548"/>
    <w:rsid w:val="006A6214"/>
    <w:rsid w:val="006A7DFE"/>
    <w:rsid w:val="006B5FC2"/>
    <w:rsid w:val="006C5FA8"/>
    <w:rsid w:val="006D1458"/>
    <w:rsid w:val="006F4704"/>
    <w:rsid w:val="00701FEB"/>
    <w:rsid w:val="007033CC"/>
    <w:rsid w:val="00720D3D"/>
    <w:rsid w:val="00725DDE"/>
    <w:rsid w:val="00744336"/>
    <w:rsid w:val="00753869"/>
    <w:rsid w:val="0076081B"/>
    <w:rsid w:val="00777B92"/>
    <w:rsid w:val="00782599"/>
    <w:rsid w:val="00786DB5"/>
    <w:rsid w:val="0079300E"/>
    <w:rsid w:val="007A50E6"/>
    <w:rsid w:val="007D5713"/>
    <w:rsid w:val="007E2BE0"/>
    <w:rsid w:val="007E6847"/>
    <w:rsid w:val="007F4BB3"/>
    <w:rsid w:val="00823B4F"/>
    <w:rsid w:val="0084528E"/>
    <w:rsid w:val="008B3056"/>
    <w:rsid w:val="008E1B15"/>
    <w:rsid w:val="008E4FD2"/>
    <w:rsid w:val="008F69E5"/>
    <w:rsid w:val="009221E9"/>
    <w:rsid w:val="009453D8"/>
    <w:rsid w:val="0097378B"/>
    <w:rsid w:val="0097716C"/>
    <w:rsid w:val="00990014"/>
    <w:rsid w:val="009A6FF0"/>
    <w:rsid w:val="009B174B"/>
    <w:rsid w:val="009C0CBE"/>
    <w:rsid w:val="00A0351C"/>
    <w:rsid w:val="00A23F69"/>
    <w:rsid w:val="00A25748"/>
    <w:rsid w:val="00A54271"/>
    <w:rsid w:val="00A628AF"/>
    <w:rsid w:val="00A62907"/>
    <w:rsid w:val="00A77B9B"/>
    <w:rsid w:val="00A9472F"/>
    <w:rsid w:val="00A96DBD"/>
    <w:rsid w:val="00AA6794"/>
    <w:rsid w:val="00AA6A70"/>
    <w:rsid w:val="00AC2014"/>
    <w:rsid w:val="00AD695C"/>
    <w:rsid w:val="00AE2A21"/>
    <w:rsid w:val="00AF7152"/>
    <w:rsid w:val="00B002CC"/>
    <w:rsid w:val="00B05EBB"/>
    <w:rsid w:val="00B13C78"/>
    <w:rsid w:val="00B16B42"/>
    <w:rsid w:val="00B237E9"/>
    <w:rsid w:val="00B52286"/>
    <w:rsid w:val="00B63B9A"/>
    <w:rsid w:val="00B678B6"/>
    <w:rsid w:val="00B7024E"/>
    <w:rsid w:val="00B77088"/>
    <w:rsid w:val="00BC03FD"/>
    <w:rsid w:val="00BF490D"/>
    <w:rsid w:val="00C038E7"/>
    <w:rsid w:val="00C07CFA"/>
    <w:rsid w:val="00C2219C"/>
    <w:rsid w:val="00C221DF"/>
    <w:rsid w:val="00C26034"/>
    <w:rsid w:val="00C3122B"/>
    <w:rsid w:val="00C3625D"/>
    <w:rsid w:val="00C66635"/>
    <w:rsid w:val="00C73AF8"/>
    <w:rsid w:val="00C76EF7"/>
    <w:rsid w:val="00C801A2"/>
    <w:rsid w:val="00C91E28"/>
    <w:rsid w:val="00C95E84"/>
    <w:rsid w:val="00CA0BEF"/>
    <w:rsid w:val="00CA2A5E"/>
    <w:rsid w:val="00CC49DB"/>
    <w:rsid w:val="00CE0A17"/>
    <w:rsid w:val="00CF041F"/>
    <w:rsid w:val="00CF2F29"/>
    <w:rsid w:val="00D020C9"/>
    <w:rsid w:val="00D1637C"/>
    <w:rsid w:val="00D658C6"/>
    <w:rsid w:val="00D67871"/>
    <w:rsid w:val="00D8762E"/>
    <w:rsid w:val="00DA29E2"/>
    <w:rsid w:val="00DB7B86"/>
    <w:rsid w:val="00E01450"/>
    <w:rsid w:val="00E01721"/>
    <w:rsid w:val="00E03300"/>
    <w:rsid w:val="00E17CC3"/>
    <w:rsid w:val="00E3261E"/>
    <w:rsid w:val="00E4727E"/>
    <w:rsid w:val="00E527EC"/>
    <w:rsid w:val="00E529D4"/>
    <w:rsid w:val="00E55F7E"/>
    <w:rsid w:val="00E713EF"/>
    <w:rsid w:val="00E9092E"/>
    <w:rsid w:val="00E92FBC"/>
    <w:rsid w:val="00E92FE9"/>
    <w:rsid w:val="00EA0C76"/>
    <w:rsid w:val="00EE53C5"/>
    <w:rsid w:val="00EF0434"/>
    <w:rsid w:val="00F0572F"/>
    <w:rsid w:val="00F0645A"/>
    <w:rsid w:val="00F50843"/>
    <w:rsid w:val="00F518AC"/>
    <w:rsid w:val="00F66392"/>
    <w:rsid w:val="00F721E6"/>
    <w:rsid w:val="00FB4102"/>
    <w:rsid w:val="00FB64F4"/>
    <w:rsid w:val="00FD2764"/>
    <w:rsid w:val="00FD3F17"/>
    <w:rsid w:val="00FF58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0E468170"/>
  <w15:chartTrackingRefBased/>
  <w15:docId w15:val="{3BF9007B-E673-4BE0-BEC7-F47D0DEF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2707"/>
    <w:rPr>
      <w:sz w:val="16"/>
      <w:szCs w:val="16"/>
    </w:rPr>
  </w:style>
  <w:style w:type="paragraph" w:styleId="CommentText">
    <w:name w:val="annotation text"/>
    <w:basedOn w:val="Normal"/>
    <w:link w:val="CommentTextChar"/>
    <w:uiPriority w:val="99"/>
    <w:semiHidden/>
    <w:unhideWhenUsed/>
    <w:rsid w:val="00132707"/>
    <w:pPr>
      <w:spacing w:line="240" w:lineRule="auto"/>
    </w:pPr>
    <w:rPr>
      <w:sz w:val="20"/>
      <w:szCs w:val="20"/>
    </w:rPr>
  </w:style>
  <w:style w:type="character" w:customStyle="1" w:styleId="CommentTextChar">
    <w:name w:val="Comment Text Char"/>
    <w:basedOn w:val="DefaultParagraphFont"/>
    <w:link w:val="CommentText"/>
    <w:uiPriority w:val="99"/>
    <w:semiHidden/>
    <w:rsid w:val="00132707"/>
    <w:rPr>
      <w:sz w:val="20"/>
      <w:szCs w:val="20"/>
    </w:rPr>
  </w:style>
  <w:style w:type="paragraph" w:styleId="CommentSubject">
    <w:name w:val="annotation subject"/>
    <w:basedOn w:val="CommentText"/>
    <w:next w:val="CommentText"/>
    <w:link w:val="CommentSubjectChar"/>
    <w:uiPriority w:val="99"/>
    <w:semiHidden/>
    <w:unhideWhenUsed/>
    <w:rsid w:val="00132707"/>
    <w:rPr>
      <w:b/>
      <w:bCs/>
    </w:rPr>
  </w:style>
  <w:style w:type="character" w:customStyle="1" w:styleId="CommentSubjectChar">
    <w:name w:val="Comment Subject Char"/>
    <w:basedOn w:val="CommentTextChar"/>
    <w:link w:val="CommentSubject"/>
    <w:uiPriority w:val="99"/>
    <w:semiHidden/>
    <w:rsid w:val="00132707"/>
    <w:rPr>
      <w:b/>
      <w:bCs/>
      <w:sz w:val="20"/>
      <w:szCs w:val="20"/>
    </w:rPr>
  </w:style>
  <w:style w:type="paragraph" w:styleId="BalloonText">
    <w:name w:val="Balloon Text"/>
    <w:basedOn w:val="Normal"/>
    <w:link w:val="BalloonTextChar"/>
    <w:uiPriority w:val="99"/>
    <w:semiHidden/>
    <w:unhideWhenUsed/>
    <w:rsid w:val="001327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707"/>
    <w:rPr>
      <w:rFonts w:ascii="Segoe UI" w:hAnsi="Segoe UI" w:cs="Segoe UI"/>
      <w:sz w:val="18"/>
      <w:szCs w:val="18"/>
    </w:rPr>
  </w:style>
  <w:style w:type="paragraph" w:styleId="ListParagraph">
    <w:name w:val="List Paragraph"/>
    <w:basedOn w:val="Normal"/>
    <w:uiPriority w:val="34"/>
    <w:qFormat/>
    <w:rsid w:val="00720D3D"/>
    <w:pPr>
      <w:ind w:left="720"/>
      <w:contextualSpacing/>
    </w:pPr>
  </w:style>
  <w:style w:type="paragraph" w:styleId="NormalWeb">
    <w:name w:val="Normal (Web)"/>
    <w:basedOn w:val="Normal"/>
    <w:uiPriority w:val="99"/>
    <w:semiHidden/>
    <w:unhideWhenUsed/>
    <w:rsid w:val="00F0645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CF041F"/>
    <w:rPr>
      <w:color w:val="0563C1" w:themeColor="hyperlink"/>
      <w:u w:val="single"/>
    </w:rPr>
  </w:style>
  <w:style w:type="paragraph" w:styleId="Header">
    <w:name w:val="header"/>
    <w:basedOn w:val="Normal"/>
    <w:link w:val="HeaderChar"/>
    <w:uiPriority w:val="99"/>
    <w:unhideWhenUsed/>
    <w:rsid w:val="007608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81B"/>
  </w:style>
  <w:style w:type="paragraph" w:styleId="Footer">
    <w:name w:val="footer"/>
    <w:basedOn w:val="Normal"/>
    <w:link w:val="FooterChar"/>
    <w:uiPriority w:val="99"/>
    <w:unhideWhenUsed/>
    <w:rsid w:val="007608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8604">
      <w:bodyDiv w:val="1"/>
      <w:marLeft w:val="0"/>
      <w:marRight w:val="0"/>
      <w:marTop w:val="0"/>
      <w:marBottom w:val="0"/>
      <w:divBdr>
        <w:top w:val="none" w:sz="0" w:space="0" w:color="auto"/>
        <w:left w:val="none" w:sz="0" w:space="0" w:color="auto"/>
        <w:bottom w:val="none" w:sz="0" w:space="0" w:color="auto"/>
        <w:right w:val="none" w:sz="0" w:space="0" w:color="auto"/>
      </w:divBdr>
    </w:div>
    <w:div w:id="303513428">
      <w:bodyDiv w:val="1"/>
      <w:marLeft w:val="0"/>
      <w:marRight w:val="0"/>
      <w:marTop w:val="0"/>
      <w:marBottom w:val="0"/>
      <w:divBdr>
        <w:top w:val="none" w:sz="0" w:space="0" w:color="auto"/>
        <w:left w:val="none" w:sz="0" w:space="0" w:color="auto"/>
        <w:bottom w:val="none" w:sz="0" w:space="0" w:color="auto"/>
        <w:right w:val="none" w:sz="0" w:space="0" w:color="auto"/>
      </w:divBdr>
      <w:divsChild>
        <w:div w:id="2036803556">
          <w:marLeft w:val="547"/>
          <w:marRight w:val="0"/>
          <w:marTop w:val="86"/>
          <w:marBottom w:val="0"/>
          <w:divBdr>
            <w:top w:val="none" w:sz="0" w:space="0" w:color="auto"/>
            <w:left w:val="none" w:sz="0" w:space="0" w:color="auto"/>
            <w:bottom w:val="none" w:sz="0" w:space="0" w:color="auto"/>
            <w:right w:val="none" w:sz="0" w:space="0" w:color="auto"/>
          </w:divBdr>
        </w:div>
        <w:div w:id="1666201101">
          <w:marLeft w:val="547"/>
          <w:marRight w:val="0"/>
          <w:marTop w:val="86"/>
          <w:marBottom w:val="0"/>
          <w:divBdr>
            <w:top w:val="none" w:sz="0" w:space="0" w:color="auto"/>
            <w:left w:val="none" w:sz="0" w:space="0" w:color="auto"/>
            <w:bottom w:val="none" w:sz="0" w:space="0" w:color="auto"/>
            <w:right w:val="none" w:sz="0" w:space="0" w:color="auto"/>
          </w:divBdr>
        </w:div>
        <w:div w:id="1661083549">
          <w:marLeft w:val="547"/>
          <w:marRight w:val="0"/>
          <w:marTop w:val="86"/>
          <w:marBottom w:val="0"/>
          <w:divBdr>
            <w:top w:val="none" w:sz="0" w:space="0" w:color="auto"/>
            <w:left w:val="none" w:sz="0" w:space="0" w:color="auto"/>
            <w:bottom w:val="none" w:sz="0" w:space="0" w:color="auto"/>
            <w:right w:val="none" w:sz="0" w:space="0" w:color="auto"/>
          </w:divBdr>
        </w:div>
        <w:div w:id="547374489">
          <w:marLeft w:val="547"/>
          <w:marRight w:val="0"/>
          <w:marTop w:val="86"/>
          <w:marBottom w:val="0"/>
          <w:divBdr>
            <w:top w:val="none" w:sz="0" w:space="0" w:color="auto"/>
            <w:left w:val="none" w:sz="0" w:space="0" w:color="auto"/>
            <w:bottom w:val="none" w:sz="0" w:space="0" w:color="auto"/>
            <w:right w:val="none" w:sz="0" w:space="0" w:color="auto"/>
          </w:divBdr>
        </w:div>
        <w:div w:id="485584722">
          <w:marLeft w:val="547"/>
          <w:marRight w:val="0"/>
          <w:marTop w:val="86"/>
          <w:marBottom w:val="0"/>
          <w:divBdr>
            <w:top w:val="none" w:sz="0" w:space="0" w:color="auto"/>
            <w:left w:val="none" w:sz="0" w:space="0" w:color="auto"/>
            <w:bottom w:val="none" w:sz="0" w:space="0" w:color="auto"/>
            <w:right w:val="none" w:sz="0" w:space="0" w:color="auto"/>
          </w:divBdr>
        </w:div>
        <w:div w:id="262689105">
          <w:marLeft w:val="547"/>
          <w:marRight w:val="0"/>
          <w:marTop w:val="86"/>
          <w:marBottom w:val="0"/>
          <w:divBdr>
            <w:top w:val="none" w:sz="0" w:space="0" w:color="auto"/>
            <w:left w:val="none" w:sz="0" w:space="0" w:color="auto"/>
            <w:bottom w:val="none" w:sz="0" w:space="0" w:color="auto"/>
            <w:right w:val="none" w:sz="0" w:space="0" w:color="auto"/>
          </w:divBdr>
        </w:div>
        <w:div w:id="1385064641">
          <w:marLeft w:val="547"/>
          <w:marRight w:val="0"/>
          <w:marTop w:val="86"/>
          <w:marBottom w:val="0"/>
          <w:divBdr>
            <w:top w:val="none" w:sz="0" w:space="0" w:color="auto"/>
            <w:left w:val="none" w:sz="0" w:space="0" w:color="auto"/>
            <w:bottom w:val="none" w:sz="0" w:space="0" w:color="auto"/>
            <w:right w:val="none" w:sz="0" w:space="0" w:color="auto"/>
          </w:divBdr>
        </w:div>
        <w:div w:id="987125483">
          <w:marLeft w:val="547"/>
          <w:marRight w:val="0"/>
          <w:marTop w:val="86"/>
          <w:marBottom w:val="0"/>
          <w:divBdr>
            <w:top w:val="none" w:sz="0" w:space="0" w:color="auto"/>
            <w:left w:val="none" w:sz="0" w:space="0" w:color="auto"/>
            <w:bottom w:val="none" w:sz="0" w:space="0" w:color="auto"/>
            <w:right w:val="none" w:sz="0" w:space="0" w:color="auto"/>
          </w:divBdr>
        </w:div>
      </w:divsChild>
    </w:div>
    <w:div w:id="324632416">
      <w:bodyDiv w:val="1"/>
      <w:marLeft w:val="0"/>
      <w:marRight w:val="0"/>
      <w:marTop w:val="0"/>
      <w:marBottom w:val="0"/>
      <w:divBdr>
        <w:top w:val="none" w:sz="0" w:space="0" w:color="auto"/>
        <w:left w:val="none" w:sz="0" w:space="0" w:color="auto"/>
        <w:bottom w:val="none" w:sz="0" w:space="0" w:color="auto"/>
        <w:right w:val="none" w:sz="0" w:space="0" w:color="auto"/>
      </w:divBdr>
    </w:div>
    <w:div w:id="347098591">
      <w:bodyDiv w:val="1"/>
      <w:marLeft w:val="0"/>
      <w:marRight w:val="0"/>
      <w:marTop w:val="0"/>
      <w:marBottom w:val="0"/>
      <w:divBdr>
        <w:top w:val="none" w:sz="0" w:space="0" w:color="auto"/>
        <w:left w:val="none" w:sz="0" w:space="0" w:color="auto"/>
        <w:bottom w:val="none" w:sz="0" w:space="0" w:color="auto"/>
        <w:right w:val="none" w:sz="0" w:space="0" w:color="auto"/>
      </w:divBdr>
      <w:divsChild>
        <w:div w:id="71586809">
          <w:marLeft w:val="547"/>
          <w:marRight w:val="0"/>
          <w:marTop w:val="72"/>
          <w:marBottom w:val="0"/>
          <w:divBdr>
            <w:top w:val="none" w:sz="0" w:space="0" w:color="auto"/>
            <w:left w:val="none" w:sz="0" w:space="0" w:color="auto"/>
            <w:bottom w:val="none" w:sz="0" w:space="0" w:color="auto"/>
            <w:right w:val="none" w:sz="0" w:space="0" w:color="auto"/>
          </w:divBdr>
        </w:div>
      </w:divsChild>
    </w:div>
    <w:div w:id="401490561">
      <w:bodyDiv w:val="1"/>
      <w:marLeft w:val="0"/>
      <w:marRight w:val="0"/>
      <w:marTop w:val="0"/>
      <w:marBottom w:val="0"/>
      <w:divBdr>
        <w:top w:val="none" w:sz="0" w:space="0" w:color="auto"/>
        <w:left w:val="none" w:sz="0" w:space="0" w:color="auto"/>
        <w:bottom w:val="none" w:sz="0" w:space="0" w:color="auto"/>
        <w:right w:val="none" w:sz="0" w:space="0" w:color="auto"/>
      </w:divBdr>
      <w:divsChild>
        <w:div w:id="812792119">
          <w:marLeft w:val="274"/>
          <w:marRight w:val="0"/>
          <w:marTop w:val="0"/>
          <w:marBottom w:val="0"/>
          <w:divBdr>
            <w:top w:val="none" w:sz="0" w:space="0" w:color="auto"/>
            <w:left w:val="none" w:sz="0" w:space="0" w:color="auto"/>
            <w:bottom w:val="none" w:sz="0" w:space="0" w:color="auto"/>
            <w:right w:val="none" w:sz="0" w:space="0" w:color="auto"/>
          </w:divBdr>
        </w:div>
      </w:divsChild>
    </w:div>
    <w:div w:id="538470293">
      <w:bodyDiv w:val="1"/>
      <w:marLeft w:val="0"/>
      <w:marRight w:val="0"/>
      <w:marTop w:val="0"/>
      <w:marBottom w:val="0"/>
      <w:divBdr>
        <w:top w:val="none" w:sz="0" w:space="0" w:color="auto"/>
        <w:left w:val="none" w:sz="0" w:space="0" w:color="auto"/>
        <w:bottom w:val="none" w:sz="0" w:space="0" w:color="auto"/>
        <w:right w:val="none" w:sz="0" w:space="0" w:color="auto"/>
      </w:divBdr>
      <w:divsChild>
        <w:div w:id="275412381">
          <w:marLeft w:val="547"/>
          <w:marRight w:val="0"/>
          <w:marTop w:val="72"/>
          <w:marBottom w:val="0"/>
          <w:divBdr>
            <w:top w:val="none" w:sz="0" w:space="0" w:color="auto"/>
            <w:left w:val="none" w:sz="0" w:space="0" w:color="auto"/>
            <w:bottom w:val="none" w:sz="0" w:space="0" w:color="auto"/>
            <w:right w:val="none" w:sz="0" w:space="0" w:color="auto"/>
          </w:divBdr>
        </w:div>
      </w:divsChild>
    </w:div>
    <w:div w:id="549077836">
      <w:bodyDiv w:val="1"/>
      <w:marLeft w:val="0"/>
      <w:marRight w:val="0"/>
      <w:marTop w:val="0"/>
      <w:marBottom w:val="0"/>
      <w:divBdr>
        <w:top w:val="none" w:sz="0" w:space="0" w:color="auto"/>
        <w:left w:val="none" w:sz="0" w:space="0" w:color="auto"/>
        <w:bottom w:val="none" w:sz="0" w:space="0" w:color="auto"/>
        <w:right w:val="none" w:sz="0" w:space="0" w:color="auto"/>
      </w:divBdr>
      <w:divsChild>
        <w:div w:id="219096241">
          <w:marLeft w:val="547"/>
          <w:marRight w:val="0"/>
          <w:marTop w:val="72"/>
          <w:marBottom w:val="0"/>
          <w:divBdr>
            <w:top w:val="none" w:sz="0" w:space="0" w:color="auto"/>
            <w:left w:val="none" w:sz="0" w:space="0" w:color="auto"/>
            <w:bottom w:val="none" w:sz="0" w:space="0" w:color="auto"/>
            <w:right w:val="none" w:sz="0" w:space="0" w:color="auto"/>
          </w:divBdr>
        </w:div>
      </w:divsChild>
    </w:div>
    <w:div w:id="554195354">
      <w:bodyDiv w:val="1"/>
      <w:marLeft w:val="0"/>
      <w:marRight w:val="0"/>
      <w:marTop w:val="0"/>
      <w:marBottom w:val="0"/>
      <w:divBdr>
        <w:top w:val="none" w:sz="0" w:space="0" w:color="auto"/>
        <w:left w:val="none" w:sz="0" w:space="0" w:color="auto"/>
        <w:bottom w:val="none" w:sz="0" w:space="0" w:color="auto"/>
        <w:right w:val="none" w:sz="0" w:space="0" w:color="auto"/>
      </w:divBdr>
      <w:divsChild>
        <w:div w:id="1444307115">
          <w:marLeft w:val="547"/>
          <w:marRight w:val="0"/>
          <w:marTop w:val="72"/>
          <w:marBottom w:val="0"/>
          <w:divBdr>
            <w:top w:val="none" w:sz="0" w:space="0" w:color="auto"/>
            <w:left w:val="none" w:sz="0" w:space="0" w:color="auto"/>
            <w:bottom w:val="none" w:sz="0" w:space="0" w:color="auto"/>
            <w:right w:val="none" w:sz="0" w:space="0" w:color="auto"/>
          </w:divBdr>
        </w:div>
      </w:divsChild>
    </w:div>
    <w:div w:id="592396981">
      <w:bodyDiv w:val="1"/>
      <w:marLeft w:val="0"/>
      <w:marRight w:val="0"/>
      <w:marTop w:val="0"/>
      <w:marBottom w:val="0"/>
      <w:divBdr>
        <w:top w:val="none" w:sz="0" w:space="0" w:color="auto"/>
        <w:left w:val="none" w:sz="0" w:space="0" w:color="auto"/>
        <w:bottom w:val="none" w:sz="0" w:space="0" w:color="auto"/>
        <w:right w:val="none" w:sz="0" w:space="0" w:color="auto"/>
      </w:divBdr>
      <w:divsChild>
        <w:div w:id="1979531303">
          <w:marLeft w:val="547"/>
          <w:marRight w:val="0"/>
          <w:marTop w:val="72"/>
          <w:marBottom w:val="0"/>
          <w:divBdr>
            <w:top w:val="none" w:sz="0" w:space="0" w:color="auto"/>
            <w:left w:val="none" w:sz="0" w:space="0" w:color="auto"/>
            <w:bottom w:val="none" w:sz="0" w:space="0" w:color="auto"/>
            <w:right w:val="none" w:sz="0" w:space="0" w:color="auto"/>
          </w:divBdr>
        </w:div>
      </w:divsChild>
    </w:div>
    <w:div w:id="601227606">
      <w:bodyDiv w:val="1"/>
      <w:marLeft w:val="0"/>
      <w:marRight w:val="0"/>
      <w:marTop w:val="0"/>
      <w:marBottom w:val="0"/>
      <w:divBdr>
        <w:top w:val="none" w:sz="0" w:space="0" w:color="auto"/>
        <w:left w:val="none" w:sz="0" w:space="0" w:color="auto"/>
        <w:bottom w:val="none" w:sz="0" w:space="0" w:color="auto"/>
        <w:right w:val="none" w:sz="0" w:space="0" w:color="auto"/>
      </w:divBdr>
      <w:divsChild>
        <w:div w:id="1720666532">
          <w:marLeft w:val="547"/>
          <w:marRight w:val="0"/>
          <w:marTop w:val="72"/>
          <w:marBottom w:val="0"/>
          <w:divBdr>
            <w:top w:val="none" w:sz="0" w:space="0" w:color="auto"/>
            <w:left w:val="none" w:sz="0" w:space="0" w:color="auto"/>
            <w:bottom w:val="none" w:sz="0" w:space="0" w:color="auto"/>
            <w:right w:val="none" w:sz="0" w:space="0" w:color="auto"/>
          </w:divBdr>
        </w:div>
      </w:divsChild>
    </w:div>
    <w:div w:id="706294633">
      <w:bodyDiv w:val="1"/>
      <w:marLeft w:val="0"/>
      <w:marRight w:val="0"/>
      <w:marTop w:val="0"/>
      <w:marBottom w:val="0"/>
      <w:divBdr>
        <w:top w:val="none" w:sz="0" w:space="0" w:color="auto"/>
        <w:left w:val="none" w:sz="0" w:space="0" w:color="auto"/>
        <w:bottom w:val="none" w:sz="0" w:space="0" w:color="auto"/>
        <w:right w:val="none" w:sz="0" w:space="0" w:color="auto"/>
      </w:divBdr>
    </w:div>
    <w:div w:id="813185301">
      <w:bodyDiv w:val="1"/>
      <w:marLeft w:val="0"/>
      <w:marRight w:val="0"/>
      <w:marTop w:val="0"/>
      <w:marBottom w:val="0"/>
      <w:divBdr>
        <w:top w:val="none" w:sz="0" w:space="0" w:color="auto"/>
        <w:left w:val="none" w:sz="0" w:space="0" w:color="auto"/>
        <w:bottom w:val="none" w:sz="0" w:space="0" w:color="auto"/>
        <w:right w:val="none" w:sz="0" w:space="0" w:color="auto"/>
      </w:divBdr>
      <w:divsChild>
        <w:div w:id="1916626772">
          <w:marLeft w:val="547"/>
          <w:marRight w:val="0"/>
          <w:marTop w:val="72"/>
          <w:marBottom w:val="0"/>
          <w:divBdr>
            <w:top w:val="none" w:sz="0" w:space="0" w:color="auto"/>
            <w:left w:val="none" w:sz="0" w:space="0" w:color="auto"/>
            <w:bottom w:val="none" w:sz="0" w:space="0" w:color="auto"/>
            <w:right w:val="none" w:sz="0" w:space="0" w:color="auto"/>
          </w:divBdr>
        </w:div>
      </w:divsChild>
    </w:div>
    <w:div w:id="830486623">
      <w:bodyDiv w:val="1"/>
      <w:marLeft w:val="0"/>
      <w:marRight w:val="0"/>
      <w:marTop w:val="0"/>
      <w:marBottom w:val="0"/>
      <w:divBdr>
        <w:top w:val="none" w:sz="0" w:space="0" w:color="auto"/>
        <w:left w:val="none" w:sz="0" w:space="0" w:color="auto"/>
        <w:bottom w:val="none" w:sz="0" w:space="0" w:color="auto"/>
        <w:right w:val="none" w:sz="0" w:space="0" w:color="auto"/>
      </w:divBdr>
      <w:divsChild>
        <w:div w:id="1837764133">
          <w:marLeft w:val="547"/>
          <w:marRight w:val="0"/>
          <w:marTop w:val="72"/>
          <w:marBottom w:val="0"/>
          <w:divBdr>
            <w:top w:val="none" w:sz="0" w:space="0" w:color="auto"/>
            <w:left w:val="none" w:sz="0" w:space="0" w:color="auto"/>
            <w:bottom w:val="none" w:sz="0" w:space="0" w:color="auto"/>
            <w:right w:val="none" w:sz="0" w:space="0" w:color="auto"/>
          </w:divBdr>
        </w:div>
      </w:divsChild>
    </w:div>
    <w:div w:id="899366566">
      <w:bodyDiv w:val="1"/>
      <w:marLeft w:val="0"/>
      <w:marRight w:val="0"/>
      <w:marTop w:val="0"/>
      <w:marBottom w:val="0"/>
      <w:divBdr>
        <w:top w:val="none" w:sz="0" w:space="0" w:color="auto"/>
        <w:left w:val="none" w:sz="0" w:space="0" w:color="auto"/>
        <w:bottom w:val="none" w:sz="0" w:space="0" w:color="auto"/>
        <w:right w:val="none" w:sz="0" w:space="0" w:color="auto"/>
      </w:divBdr>
      <w:divsChild>
        <w:div w:id="1714885591">
          <w:marLeft w:val="274"/>
          <w:marRight w:val="0"/>
          <w:marTop w:val="0"/>
          <w:marBottom w:val="0"/>
          <w:divBdr>
            <w:top w:val="none" w:sz="0" w:space="0" w:color="auto"/>
            <w:left w:val="none" w:sz="0" w:space="0" w:color="auto"/>
            <w:bottom w:val="none" w:sz="0" w:space="0" w:color="auto"/>
            <w:right w:val="none" w:sz="0" w:space="0" w:color="auto"/>
          </w:divBdr>
        </w:div>
      </w:divsChild>
    </w:div>
    <w:div w:id="918716090">
      <w:bodyDiv w:val="1"/>
      <w:marLeft w:val="0"/>
      <w:marRight w:val="0"/>
      <w:marTop w:val="0"/>
      <w:marBottom w:val="0"/>
      <w:divBdr>
        <w:top w:val="none" w:sz="0" w:space="0" w:color="auto"/>
        <w:left w:val="none" w:sz="0" w:space="0" w:color="auto"/>
        <w:bottom w:val="none" w:sz="0" w:space="0" w:color="auto"/>
        <w:right w:val="none" w:sz="0" w:space="0" w:color="auto"/>
      </w:divBdr>
    </w:div>
    <w:div w:id="954940317">
      <w:bodyDiv w:val="1"/>
      <w:marLeft w:val="0"/>
      <w:marRight w:val="0"/>
      <w:marTop w:val="0"/>
      <w:marBottom w:val="0"/>
      <w:divBdr>
        <w:top w:val="none" w:sz="0" w:space="0" w:color="auto"/>
        <w:left w:val="none" w:sz="0" w:space="0" w:color="auto"/>
        <w:bottom w:val="none" w:sz="0" w:space="0" w:color="auto"/>
        <w:right w:val="none" w:sz="0" w:space="0" w:color="auto"/>
      </w:divBdr>
      <w:divsChild>
        <w:div w:id="1891991032">
          <w:marLeft w:val="547"/>
          <w:marRight w:val="0"/>
          <w:marTop w:val="72"/>
          <w:marBottom w:val="0"/>
          <w:divBdr>
            <w:top w:val="none" w:sz="0" w:space="0" w:color="auto"/>
            <w:left w:val="none" w:sz="0" w:space="0" w:color="auto"/>
            <w:bottom w:val="none" w:sz="0" w:space="0" w:color="auto"/>
            <w:right w:val="none" w:sz="0" w:space="0" w:color="auto"/>
          </w:divBdr>
        </w:div>
      </w:divsChild>
    </w:div>
    <w:div w:id="983586857">
      <w:bodyDiv w:val="1"/>
      <w:marLeft w:val="0"/>
      <w:marRight w:val="0"/>
      <w:marTop w:val="0"/>
      <w:marBottom w:val="0"/>
      <w:divBdr>
        <w:top w:val="none" w:sz="0" w:space="0" w:color="auto"/>
        <w:left w:val="none" w:sz="0" w:space="0" w:color="auto"/>
        <w:bottom w:val="none" w:sz="0" w:space="0" w:color="auto"/>
        <w:right w:val="none" w:sz="0" w:space="0" w:color="auto"/>
      </w:divBdr>
      <w:divsChild>
        <w:div w:id="226499881">
          <w:marLeft w:val="547"/>
          <w:marRight w:val="0"/>
          <w:marTop w:val="72"/>
          <w:marBottom w:val="0"/>
          <w:divBdr>
            <w:top w:val="none" w:sz="0" w:space="0" w:color="auto"/>
            <w:left w:val="none" w:sz="0" w:space="0" w:color="auto"/>
            <w:bottom w:val="none" w:sz="0" w:space="0" w:color="auto"/>
            <w:right w:val="none" w:sz="0" w:space="0" w:color="auto"/>
          </w:divBdr>
        </w:div>
      </w:divsChild>
    </w:div>
    <w:div w:id="1088311699">
      <w:bodyDiv w:val="1"/>
      <w:marLeft w:val="0"/>
      <w:marRight w:val="0"/>
      <w:marTop w:val="0"/>
      <w:marBottom w:val="0"/>
      <w:divBdr>
        <w:top w:val="none" w:sz="0" w:space="0" w:color="auto"/>
        <w:left w:val="none" w:sz="0" w:space="0" w:color="auto"/>
        <w:bottom w:val="none" w:sz="0" w:space="0" w:color="auto"/>
        <w:right w:val="none" w:sz="0" w:space="0" w:color="auto"/>
      </w:divBdr>
    </w:div>
    <w:div w:id="1340740666">
      <w:bodyDiv w:val="1"/>
      <w:marLeft w:val="0"/>
      <w:marRight w:val="0"/>
      <w:marTop w:val="0"/>
      <w:marBottom w:val="0"/>
      <w:divBdr>
        <w:top w:val="none" w:sz="0" w:space="0" w:color="auto"/>
        <w:left w:val="none" w:sz="0" w:space="0" w:color="auto"/>
        <w:bottom w:val="none" w:sz="0" w:space="0" w:color="auto"/>
        <w:right w:val="none" w:sz="0" w:space="0" w:color="auto"/>
      </w:divBdr>
      <w:divsChild>
        <w:div w:id="1249386453">
          <w:marLeft w:val="547"/>
          <w:marRight w:val="0"/>
          <w:marTop w:val="72"/>
          <w:marBottom w:val="0"/>
          <w:divBdr>
            <w:top w:val="none" w:sz="0" w:space="0" w:color="auto"/>
            <w:left w:val="none" w:sz="0" w:space="0" w:color="auto"/>
            <w:bottom w:val="none" w:sz="0" w:space="0" w:color="auto"/>
            <w:right w:val="none" w:sz="0" w:space="0" w:color="auto"/>
          </w:divBdr>
        </w:div>
      </w:divsChild>
    </w:div>
    <w:div w:id="1384062227">
      <w:bodyDiv w:val="1"/>
      <w:marLeft w:val="0"/>
      <w:marRight w:val="0"/>
      <w:marTop w:val="0"/>
      <w:marBottom w:val="0"/>
      <w:divBdr>
        <w:top w:val="none" w:sz="0" w:space="0" w:color="auto"/>
        <w:left w:val="none" w:sz="0" w:space="0" w:color="auto"/>
        <w:bottom w:val="none" w:sz="0" w:space="0" w:color="auto"/>
        <w:right w:val="none" w:sz="0" w:space="0" w:color="auto"/>
      </w:divBdr>
      <w:divsChild>
        <w:div w:id="576867825">
          <w:marLeft w:val="547"/>
          <w:marRight w:val="0"/>
          <w:marTop w:val="67"/>
          <w:marBottom w:val="0"/>
          <w:divBdr>
            <w:top w:val="none" w:sz="0" w:space="0" w:color="auto"/>
            <w:left w:val="none" w:sz="0" w:space="0" w:color="auto"/>
            <w:bottom w:val="none" w:sz="0" w:space="0" w:color="auto"/>
            <w:right w:val="none" w:sz="0" w:space="0" w:color="auto"/>
          </w:divBdr>
        </w:div>
        <w:div w:id="819659306">
          <w:marLeft w:val="1166"/>
          <w:marRight w:val="0"/>
          <w:marTop w:val="67"/>
          <w:marBottom w:val="0"/>
          <w:divBdr>
            <w:top w:val="none" w:sz="0" w:space="0" w:color="auto"/>
            <w:left w:val="none" w:sz="0" w:space="0" w:color="auto"/>
            <w:bottom w:val="none" w:sz="0" w:space="0" w:color="auto"/>
            <w:right w:val="none" w:sz="0" w:space="0" w:color="auto"/>
          </w:divBdr>
        </w:div>
        <w:div w:id="833108508">
          <w:marLeft w:val="1166"/>
          <w:marRight w:val="0"/>
          <w:marTop w:val="67"/>
          <w:marBottom w:val="0"/>
          <w:divBdr>
            <w:top w:val="none" w:sz="0" w:space="0" w:color="auto"/>
            <w:left w:val="none" w:sz="0" w:space="0" w:color="auto"/>
            <w:bottom w:val="none" w:sz="0" w:space="0" w:color="auto"/>
            <w:right w:val="none" w:sz="0" w:space="0" w:color="auto"/>
          </w:divBdr>
        </w:div>
        <w:div w:id="1107389256">
          <w:marLeft w:val="1166"/>
          <w:marRight w:val="0"/>
          <w:marTop w:val="67"/>
          <w:marBottom w:val="0"/>
          <w:divBdr>
            <w:top w:val="none" w:sz="0" w:space="0" w:color="auto"/>
            <w:left w:val="none" w:sz="0" w:space="0" w:color="auto"/>
            <w:bottom w:val="none" w:sz="0" w:space="0" w:color="auto"/>
            <w:right w:val="none" w:sz="0" w:space="0" w:color="auto"/>
          </w:divBdr>
        </w:div>
      </w:divsChild>
    </w:div>
    <w:div w:id="1504512985">
      <w:bodyDiv w:val="1"/>
      <w:marLeft w:val="0"/>
      <w:marRight w:val="0"/>
      <w:marTop w:val="0"/>
      <w:marBottom w:val="0"/>
      <w:divBdr>
        <w:top w:val="none" w:sz="0" w:space="0" w:color="auto"/>
        <w:left w:val="none" w:sz="0" w:space="0" w:color="auto"/>
        <w:bottom w:val="none" w:sz="0" w:space="0" w:color="auto"/>
        <w:right w:val="none" w:sz="0" w:space="0" w:color="auto"/>
      </w:divBdr>
      <w:divsChild>
        <w:div w:id="775054649">
          <w:marLeft w:val="1166"/>
          <w:marRight w:val="0"/>
          <w:marTop w:val="72"/>
          <w:marBottom w:val="0"/>
          <w:divBdr>
            <w:top w:val="none" w:sz="0" w:space="0" w:color="auto"/>
            <w:left w:val="none" w:sz="0" w:space="0" w:color="auto"/>
            <w:bottom w:val="none" w:sz="0" w:space="0" w:color="auto"/>
            <w:right w:val="none" w:sz="0" w:space="0" w:color="auto"/>
          </w:divBdr>
        </w:div>
      </w:divsChild>
    </w:div>
    <w:div w:id="1537110921">
      <w:bodyDiv w:val="1"/>
      <w:marLeft w:val="0"/>
      <w:marRight w:val="0"/>
      <w:marTop w:val="0"/>
      <w:marBottom w:val="0"/>
      <w:divBdr>
        <w:top w:val="none" w:sz="0" w:space="0" w:color="auto"/>
        <w:left w:val="none" w:sz="0" w:space="0" w:color="auto"/>
        <w:bottom w:val="none" w:sz="0" w:space="0" w:color="auto"/>
        <w:right w:val="none" w:sz="0" w:space="0" w:color="auto"/>
      </w:divBdr>
      <w:divsChild>
        <w:div w:id="1918902180">
          <w:marLeft w:val="547"/>
          <w:marRight w:val="0"/>
          <w:marTop w:val="67"/>
          <w:marBottom w:val="0"/>
          <w:divBdr>
            <w:top w:val="none" w:sz="0" w:space="0" w:color="auto"/>
            <w:left w:val="none" w:sz="0" w:space="0" w:color="auto"/>
            <w:bottom w:val="none" w:sz="0" w:space="0" w:color="auto"/>
            <w:right w:val="none" w:sz="0" w:space="0" w:color="auto"/>
          </w:divBdr>
        </w:div>
      </w:divsChild>
    </w:div>
    <w:div w:id="1560166478">
      <w:bodyDiv w:val="1"/>
      <w:marLeft w:val="0"/>
      <w:marRight w:val="0"/>
      <w:marTop w:val="0"/>
      <w:marBottom w:val="0"/>
      <w:divBdr>
        <w:top w:val="none" w:sz="0" w:space="0" w:color="auto"/>
        <w:left w:val="none" w:sz="0" w:space="0" w:color="auto"/>
        <w:bottom w:val="none" w:sz="0" w:space="0" w:color="auto"/>
        <w:right w:val="none" w:sz="0" w:space="0" w:color="auto"/>
      </w:divBdr>
      <w:divsChild>
        <w:div w:id="991830034">
          <w:marLeft w:val="274"/>
          <w:marRight w:val="0"/>
          <w:marTop w:val="0"/>
          <w:marBottom w:val="0"/>
          <w:divBdr>
            <w:top w:val="none" w:sz="0" w:space="0" w:color="auto"/>
            <w:left w:val="none" w:sz="0" w:space="0" w:color="auto"/>
            <w:bottom w:val="none" w:sz="0" w:space="0" w:color="auto"/>
            <w:right w:val="none" w:sz="0" w:space="0" w:color="auto"/>
          </w:divBdr>
        </w:div>
      </w:divsChild>
    </w:div>
    <w:div w:id="1587232057">
      <w:bodyDiv w:val="1"/>
      <w:marLeft w:val="0"/>
      <w:marRight w:val="0"/>
      <w:marTop w:val="0"/>
      <w:marBottom w:val="0"/>
      <w:divBdr>
        <w:top w:val="none" w:sz="0" w:space="0" w:color="auto"/>
        <w:left w:val="none" w:sz="0" w:space="0" w:color="auto"/>
        <w:bottom w:val="none" w:sz="0" w:space="0" w:color="auto"/>
        <w:right w:val="none" w:sz="0" w:space="0" w:color="auto"/>
      </w:divBdr>
    </w:div>
    <w:div w:id="1628507636">
      <w:bodyDiv w:val="1"/>
      <w:marLeft w:val="0"/>
      <w:marRight w:val="0"/>
      <w:marTop w:val="0"/>
      <w:marBottom w:val="0"/>
      <w:divBdr>
        <w:top w:val="none" w:sz="0" w:space="0" w:color="auto"/>
        <w:left w:val="none" w:sz="0" w:space="0" w:color="auto"/>
        <w:bottom w:val="none" w:sz="0" w:space="0" w:color="auto"/>
        <w:right w:val="none" w:sz="0" w:space="0" w:color="auto"/>
      </w:divBdr>
    </w:div>
    <w:div w:id="1723944789">
      <w:bodyDiv w:val="1"/>
      <w:marLeft w:val="0"/>
      <w:marRight w:val="0"/>
      <w:marTop w:val="0"/>
      <w:marBottom w:val="0"/>
      <w:divBdr>
        <w:top w:val="none" w:sz="0" w:space="0" w:color="auto"/>
        <w:left w:val="none" w:sz="0" w:space="0" w:color="auto"/>
        <w:bottom w:val="none" w:sz="0" w:space="0" w:color="auto"/>
        <w:right w:val="none" w:sz="0" w:space="0" w:color="auto"/>
      </w:divBdr>
    </w:div>
    <w:div w:id="1777822629">
      <w:bodyDiv w:val="1"/>
      <w:marLeft w:val="0"/>
      <w:marRight w:val="0"/>
      <w:marTop w:val="0"/>
      <w:marBottom w:val="0"/>
      <w:divBdr>
        <w:top w:val="none" w:sz="0" w:space="0" w:color="auto"/>
        <w:left w:val="none" w:sz="0" w:space="0" w:color="auto"/>
        <w:bottom w:val="none" w:sz="0" w:space="0" w:color="auto"/>
        <w:right w:val="none" w:sz="0" w:space="0" w:color="auto"/>
      </w:divBdr>
      <w:divsChild>
        <w:div w:id="1342977254">
          <w:marLeft w:val="274"/>
          <w:marRight w:val="0"/>
          <w:marTop w:val="0"/>
          <w:marBottom w:val="0"/>
          <w:divBdr>
            <w:top w:val="none" w:sz="0" w:space="0" w:color="auto"/>
            <w:left w:val="none" w:sz="0" w:space="0" w:color="auto"/>
            <w:bottom w:val="none" w:sz="0" w:space="0" w:color="auto"/>
            <w:right w:val="none" w:sz="0" w:space="0" w:color="auto"/>
          </w:divBdr>
        </w:div>
      </w:divsChild>
    </w:div>
    <w:div w:id="1801071897">
      <w:bodyDiv w:val="1"/>
      <w:marLeft w:val="0"/>
      <w:marRight w:val="0"/>
      <w:marTop w:val="0"/>
      <w:marBottom w:val="0"/>
      <w:divBdr>
        <w:top w:val="none" w:sz="0" w:space="0" w:color="auto"/>
        <w:left w:val="none" w:sz="0" w:space="0" w:color="auto"/>
        <w:bottom w:val="none" w:sz="0" w:space="0" w:color="auto"/>
        <w:right w:val="none" w:sz="0" w:space="0" w:color="auto"/>
      </w:divBdr>
    </w:div>
    <w:div w:id="1817531549">
      <w:bodyDiv w:val="1"/>
      <w:marLeft w:val="0"/>
      <w:marRight w:val="0"/>
      <w:marTop w:val="0"/>
      <w:marBottom w:val="0"/>
      <w:divBdr>
        <w:top w:val="none" w:sz="0" w:space="0" w:color="auto"/>
        <w:left w:val="none" w:sz="0" w:space="0" w:color="auto"/>
        <w:bottom w:val="none" w:sz="0" w:space="0" w:color="auto"/>
        <w:right w:val="none" w:sz="0" w:space="0" w:color="auto"/>
      </w:divBdr>
    </w:div>
    <w:div w:id="1850441115">
      <w:bodyDiv w:val="1"/>
      <w:marLeft w:val="0"/>
      <w:marRight w:val="0"/>
      <w:marTop w:val="0"/>
      <w:marBottom w:val="0"/>
      <w:divBdr>
        <w:top w:val="none" w:sz="0" w:space="0" w:color="auto"/>
        <w:left w:val="none" w:sz="0" w:space="0" w:color="auto"/>
        <w:bottom w:val="none" w:sz="0" w:space="0" w:color="auto"/>
        <w:right w:val="none" w:sz="0" w:space="0" w:color="auto"/>
      </w:divBdr>
      <w:divsChild>
        <w:div w:id="144862348">
          <w:marLeft w:val="547"/>
          <w:marRight w:val="0"/>
          <w:marTop w:val="72"/>
          <w:marBottom w:val="0"/>
          <w:divBdr>
            <w:top w:val="none" w:sz="0" w:space="0" w:color="auto"/>
            <w:left w:val="none" w:sz="0" w:space="0" w:color="auto"/>
            <w:bottom w:val="none" w:sz="0" w:space="0" w:color="auto"/>
            <w:right w:val="none" w:sz="0" w:space="0" w:color="auto"/>
          </w:divBdr>
        </w:div>
      </w:divsChild>
    </w:div>
    <w:div w:id="1946304461">
      <w:bodyDiv w:val="1"/>
      <w:marLeft w:val="0"/>
      <w:marRight w:val="0"/>
      <w:marTop w:val="0"/>
      <w:marBottom w:val="0"/>
      <w:divBdr>
        <w:top w:val="none" w:sz="0" w:space="0" w:color="auto"/>
        <w:left w:val="none" w:sz="0" w:space="0" w:color="auto"/>
        <w:bottom w:val="none" w:sz="0" w:space="0" w:color="auto"/>
        <w:right w:val="none" w:sz="0" w:space="0" w:color="auto"/>
      </w:divBdr>
      <w:divsChild>
        <w:div w:id="1304852608">
          <w:marLeft w:val="274"/>
          <w:marRight w:val="0"/>
          <w:marTop w:val="0"/>
          <w:marBottom w:val="0"/>
          <w:divBdr>
            <w:top w:val="none" w:sz="0" w:space="0" w:color="auto"/>
            <w:left w:val="none" w:sz="0" w:space="0" w:color="auto"/>
            <w:bottom w:val="none" w:sz="0" w:space="0" w:color="auto"/>
            <w:right w:val="none" w:sz="0" w:space="0" w:color="auto"/>
          </w:divBdr>
        </w:div>
      </w:divsChild>
    </w:div>
    <w:div w:id="1972397180">
      <w:bodyDiv w:val="1"/>
      <w:marLeft w:val="0"/>
      <w:marRight w:val="0"/>
      <w:marTop w:val="0"/>
      <w:marBottom w:val="0"/>
      <w:divBdr>
        <w:top w:val="none" w:sz="0" w:space="0" w:color="auto"/>
        <w:left w:val="none" w:sz="0" w:space="0" w:color="auto"/>
        <w:bottom w:val="none" w:sz="0" w:space="0" w:color="auto"/>
        <w:right w:val="none" w:sz="0" w:space="0" w:color="auto"/>
      </w:divBdr>
      <w:divsChild>
        <w:div w:id="690761204">
          <w:marLeft w:val="547"/>
          <w:marRight w:val="0"/>
          <w:marTop w:val="67"/>
          <w:marBottom w:val="0"/>
          <w:divBdr>
            <w:top w:val="none" w:sz="0" w:space="0" w:color="auto"/>
            <w:left w:val="none" w:sz="0" w:space="0" w:color="auto"/>
            <w:bottom w:val="none" w:sz="0" w:space="0" w:color="auto"/>
            <w:right w:val="none" w:sz="0" w:space="0" w:color="auto"/>
          </w:divBdr>
        </w:div>
      </w:divsChild>
    </w:div>
    <w:div w:id="2145196515">
      <w:bodyDiv w:val="1"/>
      <w:marLeft w:val="0"/>
      <w:marRight w:val="0"/>
      <w:marTop w:val="0"/>
      <w:marBottom w:val="0"/>
      <w:divBdr>
        <w:top w:val="none" w:sz="0" w:space="0" w:color="auto"/>
        <w:left w:val="none" w:sz="0" w:space="0" w:color="auto"/>
        <w:bottom w:val="none" w:sz="0" w:space="0" w:color="auto"/>
        <w:right w:val="none" w:sz="0" w:space="0" w:color="auto"/>
      </w:divBdr>
      <w:divsChild>
        <w:div w:id="1067876014">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734</TotalTime>
  <Pages>6</Pages>
  <Words>2117</Words>
  <Characters>12069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Godbole, Kalyani</dc:creator>
  <cp:keywords/>
  <dc:description/>
  <cp:lastModifiedBy>Stransky, Nicole</cp:lastModifiedBy>
  <cp:revision>202</cp:revision>
  <dcterms:created xsi:type="dcterms:W3CDTF">2020-02-13T23:25:00Z</dcterms:created>
  <dcterms:modified xsi:type="dcterms:W3CDTF">2020-03-09T00:14:00Z</dcterms:modified>
</cp:coreProperties>
</file>