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C" w:rsidRPr="003C1EE2" w:rsidRDefault="00BF0755" w:rsidP="003C1EE2">
      <w:pPr>
        <w:pStyle w:val="Heading1"/>
        <w:rPr>
          <w:sz w:val="36"/>
        </w:rPr>
      </w:pPr>
      <w:bookmarkStart w:id="0" w:name="_Toc14105805"/>
      <w:bookmarkStart w:id="1" w:name="_Toc17800146"/>
      <w:bookmarkStart w:id="2" w:name="_Toc19104010"/>
      <w:r>
        <w:rPr>
          <w:sz w:val="36"/>
        </w:rPr>
        <w:t>Region / Support Category Summary</w:t>
      </w:r>
      <w:r w:rsidR="00660C99" w:rsidRPr="003C1EE2">
        <w:rPr>
          <w:sz w:val="36"/>
        </w:rPr>
        <w:t xml:space="preserve"> Dashboard – </w:t>
      </w:r>
      <w:r w:rsidR="000026B2">
        <w:rPr>
          <w:sz w:val="36"/>
        </w:rPr>
        <w:t xml:space="preserve">SIL only - </w:t>
      </w:r>
      <w:r w:rsidR="00660C99" w:rsidRPr="003C1EE2">
        <w:rPr>
          <w:sz w:val="36"/>
        </w:rPr>
        <w:t>as at 30 June 2019</w:t>
      </w:r>
      <w:bookmarkEnd w:id="0"/>
      <w:bookmarkEnd w:id="1"/>
      <w:r w:rsidR="00660C99" w:rsidRPr="003C1EE2">
        <w:rPr>
          <w:sz w:val="36"/>
        </w:rPr>
        <w:t xml:space="preserve"> (</w:t>
      </w:r>
      <w:r w:rsidR="000301E5">
        <w:rPr>
          <w:sz w:val="36"/>
        </w:rPr>
        <w:t xml:space="preserve">with </w:t>
      </w:r>
      <w:r w:rsidR="00660C99" w:rsidRPr="003C1EE2">
        <w:rPr>
          <w:sz w:val="36"/>
        </w:rPr>
        <w:t>exposure period: 1 October 2018 to 31 March 2019)</w:t>
      </w:r>
      <w:bookmarkEnd w:id="2"/>
    </w:p>
    <w:bookmarkStart w:id="3" w:name="_Toc19104011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3C1EE2" w:rsidRPr="00B41A44" w:rsidRDefault="003C1EE2" w:rsidP="00B41A44">
          <w:pPr>
            <w:pStyle w:val="Heading2"/>
            <w:rPr>
              <w:rFonts w:eastAsiaTheme="minorEastAsia"/>
              <w:lang w:eastAsia="en-AU"/>
            </w:rPr>
          </w:pPr>
          <w:r w:rsidRPr="00B41A44">
            <w:rPr>
              <w:rFonts w:eastAsiaTheme="minorEastAsia"/>
              <w:lang w:eastAsia="en-AU"/>
            </w:rPr>
            <w:t>Table of Contents</w:t>
          </w:r>
          <w:bookmarkEnd w:id="3"/>
        </w:p>
        <w:p w:rsidR="00C415CF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19104010" w:history="1">
            <w:r w:rsidR="00C415CF" w:rsidRPr="00D31DCD">
              <w:rPr>
                <w:rStyle w:val="Hyperlink"/>
                <w:noProof/>
              </w:rPr>
              <w:t>Region / Support Category Summary Dashboard – SIL only - as at 30 June 2019 (with exposure period: 1 October 2018 to 31 March 2019)</w:t>
            </w:r>
            <w:r w:rsidR="00C415CF">
              <w:rPr>
                <w:noProof/>
                <w:webHidden/>
              </w:rPr>
              <w:tab/>
            </w:r>
            <w:r w:rsidR="00C415CF">
              <w:rPr>
                <w:noProof/>
                <w:webHidden/>
              </w:rPr>
              <w:fldChar w:fldCharType="begin"/>
            </w:r>
            <w:r w:rsidR="00C415CF">
              <w:rPr>
                <w:noProof/>
                <w:webHidden/>
              </w:rPr>
              <w:instrText xml:space="preserve"> PAGEREF _Toc19104010 \h </w:instrText>
            </w:r>
            <w:r w:rsidR="00C415CF">
              <w:rPr>
                <w:noProof/>
                <w:webHidden/>
              </w:rPr>
            </w:r>
            <w:r w:rsidR="00C415CF">
              <w:rPr>
                <w:noProof/>
                <w:webHidden/>
              </w:rPr>
              <w:fldChar w:fldCharType="separate"/>
            </w:r>
            <w:r w:rsidR="00C415CF">
              <w:rPr>
                <w:noProof/>
                <w:webHidden/>
              </w:rPr>
              <w:t>1</w:t>
            </w:r>
            <w:r w:rsidR="00C415CF">
              <w:rPr>
                <w:noProof/>
                <w:webHidden/>
              </w:rPr>
              <w:fldChar w:fldCharType="end"/>
            </w:r>
          </w:hyperlink>
        </w:p>
        <w:p w:rsidR="00C415CF" w:rsidRDefault="00D131F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104011" w:history="1">
            <w:r w:rsidR="00C415CF" w:rsidRPr="00D31DCD">
              <w:rPr>
                <w:rStyle w:val="Hyperlink"/>
                <w:noProof/>
                <w:lang w:eastAsia="en-AU"/>
              </w:rPr>
              <w:t>Table of Contents</w:t>
            </w:r>
            <w:r w:rsidR="00C415CF">
              <w:rPr>
                <w:noProof/>
                <w:webHidden/>
              </w:rPr>
              <w:tab/>
            </w:r>
            <w:r w:rsidR="00C415CF">
              <w:rPr>
                <w:noProof/>
                <w:webHidden/>
              </w:rPr>
              <w:fldChar w:fldCharType="begin"/>
            </w:r>
            <w:r w:rsidR="00C415CF">
              <w:rPr>
                <w:noProof/>
                <w:webHidden/>
              </w:rPr>
              <w:instrText xml:space="preserve"> PAGEREF _Toc19104011 \h </w:instrText>
            </w:r>
            <w:r w:rsidR="00C415CF">
              <w:rPr>
                <w:noProof/>
                <w:webHidden/>
              </w:rPr>
            </w:r>
            <w:r w:rsidR="00C415CF">
              <w:rPr>
                <w:noProof/>
                <w:webHidden/>
              </w:rPr>
              <w:fldChar w:fldCharType="separate"/>
            </w:r>
            <w:r w:rsidR="00C415CF">
              <w:rPr>
                <w:noProof/>
                <w:webHidden/>
              </w:rPr>
              <w:t>1</w:t>
            </w:r>
            <w:r w:rsidR="00C415CF">
              <w:rPr>
                <w:noProof/>
                <w:webHidden/>
              </w:rPr>
              <w:fldChar w:fldCharType="end"/>
            </w:r>
          </w:hyperlink>
        </w:p>
        <w:p w:rsidR="00C415CF" w:rsidRDefault="00D131F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104012" w:history="1">
            <w:r w:rsidR="00C415CF" w:rsidRPr="00D31DCD">
              <w:rPr>
                <w:rStyle w:val="Hyperlink"/>
                <w:noProof/>
              </w:rPr>
              <w:t>Page 1, Table 1: Bilateral region summary</w:t>
            </w:r>
            <w:r w:rsidR="00C415CF">
              <w:rPr>
                <w:noProof/>
                <w:webHidden/>
              </w:rPr>
              <w:tab/>
            </w:r>
            <w:r w:rsidR="00C415CF">
              <w:rPr>
                <w:noProof/>
                <w:webHidden/>
              </w:rPr>
              <w:fldChar w:fldCharType="begin"/>
            </w:r>
            <w:r w:rsidR="00C415CF">
              <w:rPr>
                <w:noProof/>
                <w:webHidden/>
              </w:rPr>
              <w:instrText xml:space="preserve"> PAGEREF _Toc19104012 \h </w:instrText>
            </w:r>
            <w:r w:rsidR="00C415CF">
              <w:rPr>
                <w:noProof/>
                <w:webHidden/>
              </w:rPr>
            </w:r>
            <w:r w:rsidR="00C415CF">
              <w:rPr>
                <w:noProof/>
                <w:webHidden/>
              </w:rPr>
              <w:fldChar w:fldCharType="separate"/>
            </w:r>
            <w:r w:rsidR="00C415CF">
              <w:rPr>
                <w:noProof/>
                <w:webHidden/>
              </w:rPr>
              <w:t>2</w:t>
            </w:r>
            <w:r w:rsidR="00C415CF">
              <w:rPr>
                <w:noProof/>
                <w:webHidden/>
              </w:rPr>
              <w:fldChar w:fldCharType="end"/>
            </w:r>
          </w:hyperlink>
        </w:p>
        <w:p w:rsidR="00C415CF" w:rsidRDefault="00D131F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104013" w:history="1">
            <w:r w:rsidR="00C415CF" w:rsidRPr="00D31DCD">
              <w:rPr>
                <w:rStyle w:val="Hyperlink"/>
                <w:noProof/>
              </w:rPr>
              <w:t>Page 2, Table 1: Support category summary, for all bilateral regions</w:t>
            </w:r>
            <w:r w:rsidR="00C415CF">
              <w:rPr>
                <w:noProof/>
                <w:webHidden/>
              </w:rPr>
              <w:tab/>
            </w:r>
            <w:r w:rsidR="00C415CF">
              <w:rPr>
                <w:noProof/>
                <w:webHidden/>
              </w:rPr>
              <w:fldChar w:fldCharType="begin"/>
            </w:r>
            <w:r w:rsidR="00C415CF">
              <w:rPr>
                <w:noProof/>
                <w:webHidden/>
              </w:rPr>
              <w:instrText xml:space="preserve"> PAGEREF _Toc19104013 \h </w:instrText>
            </w:r>
            <w:r w:rsidR="00C415CF">
              <w:rPr>
                <w:noProof/>
                <w:webHidden/>
              </w:rPr>
            </w:r>
            <w:r w:rsidR="00C415CF">
              <w:rPr>
                <w:noProof/>
                <w:webHidden/>
              </w:rPr>
              <w:fldChar w:fldCharType="separate"/>
            </w:r>
            <w:r w:rsidR="00C415CF">
              <w:rPr>
                <w:noProof/>
                <w:webHidden/>
              </w:rPr>
              <w:t>5</w:t>
            </w:r>
            <w:r w:rsidR="00C415CF">
              <w:rPr>
                <w:noProof/>
                <w:webHidden/>
              </w:rPr>
              <w:fldChar w:fldCharType="end"/>
            </w:r>
          </w:hyperlink>
        </w:p>
        <w:p w:rsidR="00C415CF" w:rsidRDefault="00D131F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104014" w:history="1">
            <w:r w:rsidR="00C415CF" w:rsidRPr="00D31DCD">
              <w:rPr>
                <w:rStyle w:val="Hyperlink"/>
                <w:noProof/>
              </w:rPr>
              <w:t>Page 2, Table 2: Definitions for the indicators</w:t>
            </w:r>
            <w:r w:rsidR="00C415CF">
              <w:rPr>
                <w:noProof/>
                <w:webHidden/>
              </w:rPr>
              <w:tab/>
            </w:r>
            <w:r w:rsidR="00C415CF">
              <w:rPr>
                <w:noProof/>
                <w:webHidden/>
              </w:rPr>
              <w:fldChar w:fldCharType="begin"/>
            </w:r>
            <w:r w:rsidR="00C415CF">
              <w:rPr>
                <w:noProof/>
                <w:webHidden/>
              </w:rPr>
              <w:instrText xml:space="preserve"> PAGEREF _Toc19104014 \h </w:instrText>
            </w:r>
            <w:r w:rsidR="00C415CF">
              <w:rPr>
                <w:noProof/>
                <w:webHidden/>
              </w:rPr>
            </w:r>
            <w:r w:rsidR="00C415CF">
              <w:rPr>
                <w:noProof/>
                <w:webHidden/>
              </w:rPr>
              <w:fldChar w:fldCharType="separate"/>
            </w:r>
            <w:r w:rsidR="00C415CF">
              <w:rPr>
                <w:noProof/>
                <w:webHidden/>
              </w:rPr>
              <w:t>6</w:t>
            </w:r>
            <w:r w:rsidR="00C415CF">
              <w:rPr>
                <w:noProof/>
                <w:webHidden/>
              </w:rPr>
              <w:fldChar w:fldCharType="end"/>
            </w:r>
          </w:hyperlink>
        </w:p>
        <w:p w:rsidR="003C1EE2" w:rsidRDefault="003C1EE2">
          <w:r w:rsidRPr="003C1EE2">
            <w:rPr>
              <w:bCs/>
              <w:noProof/>
            </w:rPr>
            <w:fldChar w:fldCharType="end"/>
          </w:r>
        </w:p>
      </w:sdtContent>
    </w:sdt>
    <w:p w:rsidR="0013152A" w:rsidRDefault="0013152A" w:rsidP="003C1EE2">
      <w:pPr>
        <w:pStyle w:val="TOCHeading"/>
      </w:pPr>
    </w:p>
    <w:p w:rsidR="0013152A" w:rsidRPr="0013152A" w:rsidRDefault="0013152A" w:rsidP="0013152A"/>
    <w:p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:rsidR="00B6363C" w:rsidRPr="00B41A44" w:rsidRDefault="00BF0755" w:rsidP="00B41A44">
      <w:pPr>
        <w:pStyle w:val="Heading2"/>
      </w:pPr>
      <w:bookmarkStart w:id="4" w:name="_Toc19104012"/>
      <w:r w:rsidRPr="00B41A44">
        <w:lastRenderedPageBreak/>
        <w:t>Page</w:t>
      </w:r>
      <w:r w:rsidR="0013152A" w:rsidRPr="00B41A44">
        <w:t xml:space="preserve"> 1</w:t>
      </w:r>
      <w:r w:rsidRPr="00B41A44">
        <w:t>, Table 1</w:t>
      </w:r>
      <w:r w:rsidR="0013152A" w:rsidRPr="00B41A44">
        <w:t xml:space="preserve">: </w:t>
      </w:r>
      <w:r w:rsidR="00C415CF" w:rsidRPr="00B41A44">
        <w:t>Bilateral</w:t>
      </w:r>
      <w:r w:rsidRPr="00B41A44">
        <w:t xml:space="preserve"> region</w:t>
      </w:r>
      <w:r w:rsidR="0013152A" w:rsidRPr="00B41A44">
        <w:t xml:space="preserve"> summary</w:t>
      </w:r>
      <w:bookmarkEnd w:id="4"/>
    </w:p>
    <w:p w:rsidR="00B6363C" w:rsidRDefault="00076EDF" w:rsidP="00763823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="000026B2" w:rsidRPr="000026B2">
        <w:rPr>
          <w:rFonts w:cs="Arial"/>
          <w:b/>
        </w:rPr>
        <w:t>participants utilising Supported Independent Living (SIL)</w:t>
      </w:r>
      <w:r w:rsidR="000026B2" w:rsidRPr="00416380">
        <w:rPr>
          <w:rFonts w:cs="Arial"/>
          <w:b/>
        </w:rPr>
        <w:t xml:space="preserve"> supports</w:t>
      </w:r>
      <w:r w:rsidR="000026B2">
        <w:rPr>
          <w:rFonts w:cs="Arial"/>
        </w:rPr>
        <w:t xml:space="preserve"> across </w:t>
      </w:r>
      <w:r>
        <w:rPr>
          <w:rFonts w:cs="Arial"/>
        </w:rPr>
        <w:t xml:space="preserve">each </w:t>
      </w:r>
      <w:r w:rsidR="0013152A">
        <w:rPr>
          <w:rFonts w:cs="Arial"/>
        </w:rPr>
        <w:t xml:space="preserve">of the </w:t>
      </w:r>
      <w:r w:rsidR="00130BD1">
        <w:rPr>
          <w:rFonts w:cs="Arial"/>
        </w:rPr>
        <w:t>64</w:t>
      </w:r>
      <w:r w:rsidR="0013152A">
        <w:rPr>
          <w:rFonts w:cs="Arial"/>
        </w:rPr>
        <w:t xml:space="preserve"> bilateral regions</w:t>
      </w:r>
      <w:r w:rsidR="00130BD1">
        <w:rPr>
          <w:rFonts w:cs="Arial"/>
        </w:rPr>
        <w:t xml:space="preserve"> with more than 9 months of experience in Scheme</w:t>
      </w:r>
      <w:r>
        <w:rPr>
          <w:rFonts w:cs="Arial"/>
        </w:rPr>
        <w:t>,</w:t>
      </w:r>
      <w:r w:rsidR="00CA1F54">
        <w:rPr>
          <w:rFonts w:cs="Arial"/>
        </w:rPr>
        <w:t xml:space="preserve"> </w:t>
      </w:r>
      <w:r w:rsidR="00B41A44">
        <w:rPr>
          <w:rFonts w:cs="Arial"/>
        </w:rPr>
        <w:t>7</w:t>
      </w:r>
      <w:r w:rsidR="00763823">
        <w:rPr>
          <w:rFonts w:cs="Arial"/>
        </w:rPr>
        <w:t xml:space="preserve"> </w:t>
      </w:r>
      <w:r w:rsidR="00B41A44">
        <w:rPr>
          <w:rFonts w:cs="Arial"/>
        </w:rPr>
        <w:t>indicators</w:t>
      </w:r>
      <w:r w:rsidR="00763823">
        <w:rPr>
          <w:rFonts w:cs="Arial"/>
        </w:rPr>
        <w:t xml:space="preserve"> have been calculated. These are:</w:t>
      </w:r>
    </w:p>
    <w:p w:rsidR="00763823" w:rsidRP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</w:rPr>
        <w:t>Participants per provider</w:t>
      </w:r>
      <w:r w:rsidR="00B94DA7">
        <w:rPr>
          <w:rFonts w:cs="Arial"/>
        </w:rPr>
        <w:t>;</w:t>
      </w:r>
    </w:p>
    <w:p w:rsidR="00763823" w:rsidRP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</w:rPr>
        <w:t>Provider concentration</w:t>
      </w:r>
      <w:r w:rsidR="00B94DA7">
        <w:rPr>
          <w:rFonts w:cs="Arial"/>
        </w:rPr>
        <w:t>;</w:t>
      </w:r>
    </w:p>
    <w:p w:rsidR="00763823" w:rsidRPr="00763823" w:rsidRDefault="00B94DA7" w:rsidP="00763823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Provider growth;</w:t>
      </w:r>
    </w:p>
    <w:p w:rsidR="00763823" w:rsidRPr="00763823" w:rsidRDefault="00B94DA7" w:rsidP="00763823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Provider shrinkage;</w:t>
      </w:r>
    </w:p>
    <w:p w:rsidR="00763823" w:rsidRPr="00763823" w:rsidRDefault="00B94DA7" w:rsidP="007D59B9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Utilisation;</w:t>
      </w:r>
    </w:p>
    <w:p w:rsidR="00763823" w:rsidRPr="00763823" w:rsidRDefault="00763823" w:rsidP="00096B1F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</w:rPr>
        <w:t>Outcomes indicator on choice and control</w:t>
      </w:r>
      <w:r w:rsidR="00B94DA7">
        <w:rPr>
          <w:rFonts w:cs="Arial"/>
        </w:rPr>
        <w:t>; and</w:t>
      </w:r>
      <w:r w:rsidRPr="00763823">
        <w:rPr>
          <w:rFonts w:cs="Arial"/>
        </w:rPr>
        <w:t xml:space="preserve"> </w:t>
      </w: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</w:rPr>
        <w:t>“Has NDIS helped with choice and control?” indicator</w:t>
      </w:r>
    </w:p>
    <w:p w:rsidR="00763823" w:rsidRDefault="00B41A44" w:rsidP="00B41A44">
      <w:pPr>
        <w:rPr>
          <w:rFonts w:cs="Arial"/>
        </w:rPr>
      </w:pPr>
      <w:r>
        <w:rPr>
          <w:rFonts w:cs="Arial"/>
        </w:rPr>
        <w:t>The number of active participants with approved plans, the number of registered active providers, t</w:t>
      </w:r>
      <w:r w:rsidRPr="00B41A44">
        <w:rPr>
          <w:rFonts w:cs="Arial"/>
        </w:rPr>
        <w:t>otal plan budgets</w:t>
      </w:r>
      <w:r>
        <w:rPr>
          <w:rFonts w:cs="Arial"/>
        </w:rPr>
        <w:t xml:space="preserve"> and total payments are also shown.</w:t>
      </w:r>
      <w:r w:rsidR="00CA1F54">
        <w:rPr>
          <w:rFonts w:cs="Arial"/>
        </w:rPr>
        <w:t xml:space="preserve"> The 7 indicators</w:t>
      </w:r>
      <w:r w:rsidR="00B94DA7">
        <w:rPr>
          <w:rFonts w:cs="Arial"/>
        </w:rPr>
        <w:t xml:space="preserve"> have a ‘traffic light system’ where the top 10% and bottom 10% </w:t>
      </w:r>
      <w:r w:rsidR="008675E1">
        <w:rPr>
          <w:rFonts w:cs="Arial"/>
        </w:rPr>
        <w:t xml:space="preserve">of </w:t>
      </w:r>
      <w:r w:rsidR="00B94DA7">
        <w:rPr>
          <w:rFonts w:cs="Arial"/>
        </w:rPr>
        <w:t>regions</w:t>
      </w:r>
      <w:r w:rsidR="008675E1">
        <w:rPr>
          <w:rFonts w:cs="Arial"/>
        </w:rPr>
        <w:t xml:space="preserve"> – by gap to benchmark –</w:t>
      </w:r>
      <w:r w:rsidR="00B94DA7">
        <w:rPr>
          <w:rFonts w:cs="Arial"/>
        </w:rPr>
        <w:t xml:space="preserve"> are</w:t>
      </w:r>
      <w:r w:rsidR="008675E1">
        <w:rPr>
          <w:rFonts w:cs="Arial"/>
        </w:rPr>
        <w:t xml:space="preserve"> </w:t>
      </w:r>
      <w:r w:rsidR="00B94DA7">
        <w:rPr>
          <w:rFonts w:cs="Arial"/>
        </w:rPr>
        <w:t>highlighted.</w:t>
      </w:r>
    </w:p>
    <w:p w:rsidR="00862FC1" w:rsidRDefault="00862FC1" w:rsidP="00B41A44">
      <w:pPr>
        <w:rPr>
          <w:rFonts w:cs="Arial"/>
        </w:rPr>
      </w:pPr>
    </w:p>
    <w:p w:rsidR="009A78AA" w:rsidRDefault="00B94DA7" w:rsidP="00B94DA7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participants per provider</w:t>
      </w:r>
      <w:r>
        <w:rPr>
          <w:rFonts w:cs="Arial"/>
        </w:rPr>
        <w:t xml:space="preserve">, </w:t>
      </w:r>
      <w:r w:rsidR="009A78AA">
        <w:rPr>
          <w:rFonts w:cs="Arial"/>
        </w:rPr>
        <w:t>the top 10% regions are as follows.</w:t>
      </w:r>
    </w:p>
    <w:p w:rsidR="00C17FD9" w:rsidRDefault="00130BD1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Far West</w:t>
      </w:r>
      <w:r w:rsidR="009A78AA" w:rsidRPr="009A78AA">
        <w:rPr>
          <w:rFonts w:cs="Arial"/>
        </w:rPr>
        <w:t xml:space="preserve"> </w:t>
      </w:r>
      <w:r w:rsidR="00CA1F54">
        <w:rPr>
          <w:rFonts w:cs="Arial"/>
        </w:rPr>
        <w:t>(</w:t>
      </w:r>
      <w:r>
        <w:rPr>
          <w:rFonts w:cs="Arial"/>
        </w:rPr>
        <w:t>New South Wales</w:t>
      </w:r>
      <w:r w:rsidR="00CA1F54">
        <w:rPr>
          <w:rFonts w:cs="Arial"/>
        </w:rPr>
        <w:t xml:space="preserve">) </w:t>
      </w:r>
      <w:r w:rsidR="000026B2">
        <w:rPr>
          <w:rFonts w:cs="Arial"/>
        </w:rPr>
        <w:t xml:space="preserve">has </w:t>
      </w:r>
      <w:r>
        <w:rPr>
          <w:rFonts w:cs="Arial"/>
        </w:rPr>
        <w:t>1.1</w:t>
      </w:r>
      <w:r w:rsidR="009A78AA">
        <w:rPr>
          <w:rFonts w:cs="Arial"/>
        </w:rPr>
        <w:t xml:space="preserve"> participants per provider.</w:t>
      </w:r>
    </w:p>
    <w:p w:rsidR="00130BD1" w:rsidRDefault="00130BD1" w:rsidP="00130BD1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130BD1">
        <w:rPr>
          <w:rFonts w:cs="Arial"/>
        </w:rPr>
        <w:t>Barossa, Light and Lower North</w:t>
      </w:r>
      <w:r>
        <w:rPr>
          <w:rFonts w:cs="Arial"/>
        </w:rPr>
        <w:t xml:space="preserve"> (South Australia) has 1.2.</w:t>
      </w:r>
    </w:p>
    <w:p w:rsidR="00130BD1" w:rsidRDefault="00130BD1" w:rsidP="000026B2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Barkly (Northern Territory) has 1.0.</w:t>
      </w:r>
    </w:p>
    <w:p w:rsidR="009A78AA" w:rsidRDefault="009A78AA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Darwin Remote </w:t>
      </w:r>
      <w:r w:rsidR="00CA1F54">
        <w:rPr>
          <w:rFonts w:cs="Arial"/>
        </w:rPr>
        <w:t>(</w:t>
      </w:r>
      <w:r>
        <w:rPr>
          <w:rFonts w:cs="Arial"/>
        </w:rPr>
        <w:t>N</w:t>
      </w:r>
      <w:r w:rsidR="00CA1F54">
        <w:rPr>
          <w:rFonts w:cs="Arial"/>
        </w:rPr>
        <w:t xml:space="preserve">orthern </w:t>
      </w:r>
      <w:r>
        <w:rPr>
          <w:rFonts w:cs="Arial"/>
        </w:rPr>
        <w:t>T</w:t>
      </w:r>
      <w:r w:rsidR="00CA1F54">
        <w:rPr>
          <w:rFonts w:cs="Arial"/>
        </w:rPr>
        <w:t>erritory)</w:t>
      </w:r>
      <w:r>
        <w:rPr>
          <w:rFonts w:cs="Arial"/>
        </w:rPr>
        <w:t xml:space="preserve"> has </w:t>
      </w:r>
      <w:r w:rsidR="000026B2">
        <w:rPr>
          <w:rFonts w:cs="Arial"/>
        </w:rPr>
        <w:t>0</w:t>
      </w:r>
      <w:r>
        <w:rPr>
          <w:rFonts w:cs="Arial"/>
        </w:rPr>
        <w:t>.</w:t>
      </w:r>
    </w:p>
    <w:p w:rsidR="00130BD1" w:rsidRDefault="00130BD1" w:rsidP="00130BD1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East Arnhem (Northern Territory) has 0.</w:t>
      </w:r>
    </w:p>
    <w:p w:rsidR="009A78AA" w:rsidRDefault="009A78AA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Katherine </w:t>
      </w:r>
      <w:r w:rsidR="00CA1F54">
        <w:rPr>
          <w:rFonts w:cs="Arial"/>
        </w:rPr>
        <w:t xml:space="preserve">(Northern Territory) </w:t>
      </w:r>
      <w:r>
        <w:rPr>
          <w:rFonts w:cs="Arial"/>
        </w:rPr>
        <w:t xml:space="preserve">has </w:t>
      </w:r>
      <w:r w:rsidR="000026B2">
        <w:rPr>
          <w:rFonts w:cs="Arial"/>
        </w:rPr>
        <w:t>0.8</w:t>
      </w:r>
      <w:r>
        <w:rPr>
          <w:rFonts w:cs="Arial"/>
        </w:rPr>
        <w:t>.</w:t>
      </w:r>
    </w:p>
    <w:p w:rsidR="009A78AA" w:rsidRDefault="009A78AA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Wheat Belt </w:t>
      </w:r>
      <w:r w:rsidR="00CA1F54">
        <w:rPr>
          <w:rFonts w:cs="Arial"/>
        </w:rPr>
        <w:t xml:space="preserve">(Western Australia) </w:t>
      </w:r>
      <w:r>
        <w:rPr>
          <w:rFonts w:cs="Arial"/>
        </w:rPr>
        <w:t xml:space="preserve">has </w:t>
      </w:r>
      <w:r w:rsidR="000026B2">
        <w:rPr>
          <w:rFonts w:cs="Arial"/>
        </w:rPr>
        <w:t>0.6</w:t>
      </w:r>
      <w:r>
        <w:rPr>
          <w:rFonts w:cs="Arial"/>
        </w:rPr>
        <w:t>.</w:t>
      </w:r>
    </w:p>
    <w:p w:rsidR="009A78AA" w:rsidRPr="009A78AA" w:rsidRDefault="009A78AA" w:rsidP="009A78AA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regions are as follows.</w:t>
      </w:r>
    </w:p>
    <w:p w:rsidR="009A78AA" w:rsidRDefault="003C6D8E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Hunter New England </w:t>
      </w:r>
      <w:r w:rsidR="00CA1F54">
        <w:rPr>
          <w:rFonts w:cs="Arial"/>
        </w:rPr>
        <w:t xml:space="preserve">(New South Wales) </w:t>
      </w:r>
      <w:r w:rsidR="009A78AA">
        <w:rPr>
          <w:rFonts w:cs="Arial"/>
        </w:rPr>
        <w:t xml:space="preserve">has </w:t>
      </w:r>
      <w:r w:rsidR="000026B2">
        <w:rPr>
          <w:rFonts w:cs="Arial"/>
        </w:rPr>
        <w:t>3.5</w:t>
      </w:r>
      <w:r w:rsidR="009A78AA">
        <w:rPr>
          <w:rFonts w:cs="Arial"/>
        </w:rPr>
        <w:t xml:space="preserve"> participants per provider.</w:t>
      </w:r>
    </w:p>
    <w:p w:rsidR="00B94DA7" w:rsidRDefault="000026B2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Bayside Peninsula</w:t>
      </w:r>
      <w:r w:rsidR="003C6D8E" w:rsidRPr="003C6D8E">
        <w:rPr>
          <w:rFonts w:cs="Arial"/>
        </w:rPr>
        <w:t xml:space="preserve"> </w:t>
      </w:r>
      <w:r w:rsidR="00CA1F54">
        <w:rPr>
          <w:rFonts w:cs="Arial"/>
        </w:rPr>
        <w:t xml:space="preserve">(Victoria) </w:t>
      </w:r>
      <w:r w:rsidR="003C6D8E">
        <w:rPr>
          <w:rFonts w:cs="Arial"/>
        </w:rPr>
        <w:t xml:space="preserve">has </w:t>
      </w:r>
      <w:r>
        <w:rPr>
          <w:rFonts w:cs="Arial"/>
        </w:rPr>
        <w:t>3.4</w:t>
      </w:r>
      <w:r w:rsidR="003C6D8E">
        <w:rPr>
          <w:rFonts w:cs="Arial"/>
        </w:rPr>
        <w:t>.</w:t>
      </w:r>
    </w:p>
    <w:p w:rsidR="000026B2" w:rsidRDefault="000026B2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Brisbane (Queensland) has 3.3.</w:t>
      </w:r>
    </w:p>
    <w:p w:rsidR="000026B2" w:rsidRDefault="000026B2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Murray and Mallee (South Australia) has 3.3.</w:t>
      </w:r>
    </w:p>
    <w:p w:rsidR="003C6D8E" w:rsidRDefault="003C6D8E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Northern Adelaide </w:t>
      </w:r>
      <w:r w:rsidR="00CA1F54">
        <w:rPr>
          <w:rFonts w:cs="Arial"/>
        </w:rPr>
        <w:t>(South Australia)</w:t>
      </w:r>
      <w:r>
        <w:rPr>
          <w:rFonts w:cs="Arial"/>
        </w:rPr>
        <w:t xml:space="preserve"> has </w:t>
      </w:r>
      <w:r w:rsidR="000026B2">
        <w:rPr>
          <w:rFonts w:cs="Arial"/>
        </w:rPr>
        <w:t>4</w:t>
      </w:r>
      <w:r>
        <w:rPr>
          <w:rFonts w:cs="Arial"/>
        </w:rPr>
        <w:t>.</w:t>
      </w:r>
      <w:r w:rsidR="000026B2">
        <w:rPr>
          <w:rFonts w:cs="Arial"/>
        </w:rPr>
        <w:t>5</w:t>
      </w:r>
      <w:r>
        <w:rPr>
          <w:rFonts w:cs="Arial"/>
        </w:rPr>
        <w:t>.</w:t>
      </w:r>
    </w:p>
    <w:p w:rsidR="003C6D8E" w:rsidRDefault="003C6D8E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Southern Adelaide </w:t>
      </w:r>
      <w:r w:rsidR="00CA1F54">
        <w:rPr>
          <w:rFonts w:cs="Arial"/>
        </w:rPr>
        <w:t xml:space="preserve">(South Australia) </w:t>
      </w:r>
      <w:r>
        <w:rPr>
          <w:rFonts w:cs="Arial"/>
        </w:rPr>
        <w:t xml:space="preserve">has </w:t>
      </w:r>
      <w:r w:rsidR="000026B2">
        <w:rPr>
          <w:rFonts w:cs="Arial"/>
        </w:rPr>
        <w:t>5</w:t>
      </w:r>
      <w:r>
        <w:rPr>
          <w:rFonts w:cs="Arial"/>
        </w:rPr>
        <w:t>.</w:t>
      </w:r>
      <w:r w:rsidR="000026B2">
        <w:rPr>
          <w:rFonts w:cs="Arial"/>
        </w:rPr>
        <w:t>8</w:t>
      </w:r>
      <w:r>
        <w:rPr>
          <w:rFonts w:cs="Arial"/>
        </w:rPr>
        <w:t>.</w:t>
      </w:r>
    </w:p>
    <w:p w:rsidR="003C6D8E" w:rsidRDefault="00CC117F" w:rsidP="009A78A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North East </w:t>
      </w:r>
      <w:r w:rsidR="003C6D8E">
        <w:rPr>
          <w:rFonts w:cs="Arial"/>
        </w:rPr>
        <w:t xml:space="preserve">Metro </w:t>
      </w:r>
      <w:r w:rsidR="00CA1F54">
        <w:rPr>
          <w:rFonts w:cs="Arial"/>
        </w:rPr>
        <w:t xml:space="preserve">(Western Australia) </w:t>
      </w:r>
      <w:r w:rsidR="003C6D8E">
        <w:rPr>
          <w:rFonts w:cs="Arial"/>
        </w:rPr>
        <w:t xml:space="preserve">has </w:t>
      </w:r>
      <w:r>
        <w:rPr>
          <w:rFonts w:cs="Arial"/>
        </w:rPr>
        <w:t>3</w:t>
      </w:r>
      <w:r w:rsidR="003C6D8E">
        <w:rPr>
          <w:rFonts w:cs="Arial"/>
        </w:rPr>
        <w:t>.</w:t>
      </w:r>
      <w:r>
        <w:rPr>
          <w:rFonts w:cs="Arial"/>
        </w:rPr>
        <w:t>5</w:t>
      </w:r>
      <w:r w:rsidR="003C6D8E">
        <w:rPr>
          <w:rFonts w:cs="Arial"/>
        </w:rPr>
        <w:t>.</w:t>
      </w:r>
    </w:p>
    <w:p w:rsidR="00BF032E" w:rsidRDefault="00BF032E" w:rsidP="009A78AA">
      <w:pPr>
        <w:jc w:val="both"/>
        <w:rPr>
          <w:rFonts w:cs="Arial"/>
        </w:rPr>
      </w:pPr>
    </w:p>
    <w:p w:rsidR="009A78AA" w:rsidRPr="0015533B" w:rsidRDefault="00B94DA7" w:rsidP="009A78AA">
      <w:pPr>
        <w:jc w:val="both"/>
        <w:rPr>
          <w:rFonts w:cs="Arial"/>
        </w:rPr>
      </w:pPr>
      <w:r w:rsidRPr="0015533B">
        <w:rPr>
          <w:rFonts w:cs="Arial"/>
        </w:rPr>
        <w:t xml:space="preserve">For </w:t>
      </w:r>
      <w:r w:rsidRPr="0015533B">
        <w:rPr>
          <w:rFonts w:cs="Arial"/>
          <w:b/>
        </w:rPr>
        <w:t>provider concentration</w:t>
      </w:r>
      <w:r w:rsidRPr="0015533B">
        <w:rPr>
          <w:rFonts w:cs="Arial"/>
        </w:rPr>
        <w:t xml:space="preserve">, </w:t>
      </w:r>
      <w:r w:rsidR="009A78AA" w:rsidRPr="0015533B">
        <w:rPr>
          <w:rFonts w:cs="Arial"/>
        </w:rPr>
        <w:t>the top 10% regions are as follows.</w:t>
      </w:r>
    </w:p>
    <w:p w:rsidR="009A78AA" w:rsidRPr="0015533B" w:rsidRDefault="0015533B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15533B">
        <w:rPr>
          <w:rFonts w:cs="Arial"/>
        </w:rPr>
        <w:t xml:space="preserve">Hunter New England </w:t>
      </w:r>
      <w:r w:rsidR="00CA1F54">
        <w:rPr>
          <w:rFonts w:cs="Arial"/>
        </w:rPr>
        <w:t xml:space="preserve">(New South Wales) </w:t>
      </w:r>
      <w:r w:rsidR="009A78AA" w:rsidRPr="0015533B">
        <w:rPr>
          <w:rFonts w:cs="Arial"/>
        </w:rPr>
        <w:t xml:space="preserve">has provider concentration level of </w:t>
      </w:r>
      <w:r w:rsidR="004C6EE2">
        <w:rPr>
          <w:rFonts w:cs="Arial"/>
        </w:rPr>
        <w:t>5</w:t>
      </w:r>
      <w:r w:rsidRPr="0015533B">
        <w:rPr>
          <w:rFonts w:cs="Arial"/>
        </w:rPr>
        <w:t>4</w:t>
      </w:r>
      <w:r w:rsidR="009A78AA" w:rsidRPr="0015533B">
        <w:rPr>
          <w:rFonts w:cs="Arial"/>
        </w:rPr>
        <w:t>%.</w:t>
      </w:r>
    </w:p>
    <w:p w:rsidR="00AB38DA" w:rsidRPr="00BA47DB" w:rsidRDefault="0015533B" w:rsidP="00BA47DB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South Western Sydney </w:t>
      </w:r>
      <w:r w:rsidR="00CA1F54">
        <w:rPr>
          <w:rFonts w:cs="Arial"/>
        </w:rPr>
        <w:t xml:space="preserve">(New South Wales) </w:t>
      </w:r>
      <w:r w:rsidRPr="0015533B">
        <w:rPr>
          <w:rFonts w:cs="Arial"/>
        </w:rPr>
        <w:t xml:space="preserve">has </w:t>
      </w:r>
      <w:r w:rsidR="004C6EE2">
        <w:rPr>
          <w:rFonts w:cs="Arial"/>
        </w:rPr>
        <w:t>60</w:t>
      </w:r>
      <w:r>
        <w:rPr>
          <w:rFonts w:cs="Arial"/>
        </w:rPr>
        <w:t>%.</w:t>
      </w:r>
    </w:p>
    <w:p w:rsidR="0015533B" w:rsidRDefault="0015533B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North East Melbourne </w:t>
      </w:r>
      <w:r w:rsidR="00CA1F54">
        <w:rPr>
          <w:rFonts w:cs="Arial"/>
        </w:rPr>
        <w:t xml:space="preserve">(Victoria) </w:t>
      </w:r>
      <w:r>
        <w:rPr>
          <w:rFonts w:cs="Arial"/>
        </w:rPr>
        <w:t xml:space="preserve">has </w:t>
      </w:r>
      <w:r w:rsidR="004C6EE2">
        <w:rPr>
          <w:rFonts w:cs="Arial"/>
        </w:rPr>
        <w:t>57</w:t>
      </w:r>
      <w:r>
        <w:rPr>
          <w:rFonts w:cs="Arial"/>
        </w:rPr>
        <w:t>%.</w:t>
      </w:r>
    </w:p>
    <w:p w:rsidR="0015533B" w:rsidRDefault="004C6EE2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Darwin Remote</w:t>
      </w:r>
      <w:r w:rsidR="00CA1F54">
        <w:rPr>
          <w:rFonts w:cs="Arial"/>
        </w:rPr>
        <w:t xml:space="preserve"> (</w:t>
      </w:r>
      <w:r>
        <w:rPr>
          <w:rFonts w:cs="Arial"/>
        </w:rPr>
        <w:t>Northern Territory</w:t>
      </w:r>
      <w:r w:rsidR="00CA1F54">
        <w:rPr>
          <w:rFonts w:cs="Arial"/>
        </w:rPr>
        <w:t xml:space="preserve">) </w:t>
      </w:r>
      <w:r w:rsidR="0015533B">
        <w:rPr>
          <w:rFonts w:cs="Arial"/>
        </w:rPr>
        <w:t xml:space="preserve">has </w:t>
      </w:r>
      <w:r>
        <w:rPr>
          <w:rFonts w:cs="Arial"/>
        </w:rPr>
        <w:t>0</w:t>
      </w:r>
      <w:r w:rsidR="0015533B">
        <w:rPr>
          <w:rFonts w:cs="Arial"/>
        </w:rPr>
        <w:t>%.</w:t>
      </w:r>
    </w:p>
    <w:p w:rsidR="004C6EE2" w:rsidRDefault="004C6EE2" w:rsidP="009A78A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East Arnhem (Northern Territory) has 0%.</w:t>
      </w:r>
    </w:p>
    <w:p w:rsidR="009A78AA" w:rsidRPr="0015533B" w:rsidRDefault="009A78AA" w:rsidP="009A78AA">
      <w:pPr>
        <w:jc w:val="both"/>
        <w:rPr>
          <w:rFonts w:cs="Arial"/>
        </w:rPr>
      </w:pPr>
      <w:r w:rsidRPr="0015533B">
        <w:rPr>
          <w:rFonts w:cs="Arial"/>
        </w:rPr>
        <w:t>The bottom 10% regions are as follows.</w:t>
      </w:r>
    </w:p>
    <w:p w:rsidR="004C6EE2" w:rsidRDefault="00AB38DA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West</w:t>
      </w:r>
      <w:r w:rsidR="004C6EE2">
        <w:rPr>
          <w:rFonts w:cs="Arial"/>
        </w:rPr>
        <w:t xml:space="preserve"> (</w:t>
      </w:r>
      <w:r>
        <w:rPr>
          <w:rFonts w:cs="Arial"/>
        </w:rPr>
        <w:t>New South Wales</w:t>
      </w:r>
      <w:r w:rsidR="004C6EE2">
        <w:rPr>
          <w:rFonts w:cs="Arial"/>
        </w:rPr>
        <w:t xml:space="preserve">) has provider concentration level of </w:t>
      </w:r>
      <w:r>
        <w:rPr>
          <w:rFonts w:cs="Arial"/>
        </w:rPr>
        <w:t>99</w:t>
      </w:r>
      <w:r w:rsidR="004C6EE2">
        <w:rPr>
          <w:rFonts w:cs="Arial"/>
        </w:rPr>
        <w:t>%</w:t>
      </w:r>
    </w:p>
    <w:p w:rsidR="004C6EE2" w:rsidRDefault="004C6EE2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North (South Australia) has 100%</w:t>
      </w:r>
    </w:p>
    <w:p w:rsidR="004C6EE2" w:rsidRDefault="004C6EE2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>
        <w:rPr>
          <w:rFonts w:cs="Arial"/>
        </w:rPr>
        <w:lastRenderedPageBreak/>
        <w:t>Fleurieu</w:t>
      </w:r>
      <w:proofErr w:type="spellEnd"/>
      <w:r>
        <w:rPr>
          <w:rFonts w:cs="Arial"/>
        </w:rPr>
        <w:t xml:space="preserve"> and Kangaroo Island (South Australia) has 100%.</w:t>
      </w:r>
    </w:p>
    <w:p w:rsidR="00AB38DA" w:rsidRDefault="00AB38DA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>
        <w:rPr>
          <w:rFonts w:cs="Arial"/>
        </w:rPr>
        <w:t>Yorke</w:t>
      </w:r>
      <w:proofErr w:type="spellEnd"/>
      <w:r>
        <w:rPr>
          <w:rFonts w:cs="Arial"/>
        </w:rPr>
        <w:t xml:space="preserve"> and Mid North (South Australia) has 100%.</w:t>
      </w:r>
    </w:p>
    <w:p w:rsidR="0015533B" w:rsidRDefault="0015533B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</w:t>
      </w:r>
      <w:r w:rsidR="00CA1F54">
        <w:rPr>
          <w:rFonts w:cs="Arial"/>
        </w:rPr>
        <w:t xml:space="preserve">(Northern Territory) </w:t>
      </w:r>
      <w:r>
        <w:rPr>
          <w:rFonts w:cs="Arial"/>
        </w:rPr>
        <w:t xml:space="preserve">has </w:t>
      </w:r>
      <w:r w:rsidR="004C6EE2">
        <w:rPr>
          <w:rFonts w:cs="Arial"/>
        </w:rPr>
        <w:t>100</w:t>
      </w:r>
      <w:r>
        <w:rPr>
          <w:rFonts w:cs="Arial"/>
        </w:rPr>
        <w:t>%.</w:t>
      </w:r>
    </w:p>
    <w:p w:rsidR="00AB38DA" w:rsidRDefault="00BA47DB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Remote</w:t>
      </w:r>
      <w:r w:rsidR="00AB38DA">
        <w:rPr>
          <w:rFonts w:cs="Arial"/>
        </w:rPr>
        <w:t xml:space="preserve"> (Northern Territory) has 98%.</w:t>
      </w:r>
    </w:p>
    <w:p w:rsidR="0015533B" w:rsidRDefault="004C6EE2" w:rsidP="0015533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Wheat Belt</w:t>
      </w:r>
      <w:r w:rsidR="0015533B">
        <w:rPr>
          <w:rFonts w:cs="Arial"/>
        </w:rPr>
        <w:t xml:space="preserve"> </w:t>
      </w:r>
      <w:r w:rsidR="00CA1F54">
        <w:rPr>
          <w:rFonts w:cs="Arial"/>
        </w:rPr>
        <w:t xml:space="preserve">(Western Australia) </w:t>
      </w:r>
      <w:r w:rsidR="006A7787">
        <w:rPr>
          <w:rFonts w:cs="Arial"/>
        </w:rPr>
        <w:t xml:space="preserve">has </w:t>
      </w:r>
      <w:r>
        <w:rPr>
          <w:rFonts w:cs="Arial"/>
        </w:rPr>
        <w:t>100</w:t>
      </w:r>
      <w:r w:rsidR="006A7787">
        <w:rPr>
          <w:rFonts w:cs="Arial"/>
        </w:rPr>
        <w:t>%.</w:t>
      </w:r>
    </w:p>
    <w:p w:rsidR="00BF032E" w:rsidRDefault="00BF032E" w:rsidP="009A78AA">
      <w:pPr>
        <w:jc w:val="both"/>
        <w:rPr>
          <w:rFonts w:cs="Arial"/>
        </w:rPr>
      </w:pPr>
    </w:p>
    <w:p w:rsidR="009A78AA" w:rsidRDefault="00B94DA7" w:rsidP="009A78AA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provider growth</w:t>
      </w:r>
      <w:r>
        <w:rPr>
          <w:rFonts w:cs="Arial"/>
        </w:rPr>
        <w:t xml:space="preserve">, </w:t>
      </w:r>
      <w:r w:rsidR="009A78AA">
        <w:rPr>
          <w:rFonts w:cs="Arial"/>
        </w:rPr>
        <w:t xml:space="preserve">the 10% regions </w:t>
      </w:r>
      <w:r w:rsidR="008E1CEE">
        <w:rPr>
          <w:rFonts w:cs="Arial"/>
        </w:rPr>
        <w:t xml:space="preserve">showing highest growth </w:t>
      </w:r>
      <w:r w:rsidR="009A78AA">
        <w:rPr>
          <w:rFonts w:cs="Arial"/>
        </w:rPr>
        <w:t>are as follows.</w:t>
      </w:r>
    </w:p>
    <w:p w:rsidR="006A7787" w:rsidRDefault="006A7787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Beenleigh </w:t>
      </w:r>
      <w:r w:rsidR="00CA1F54">
        <w:rPr>
          <w:rFonts w:cs="Arial"/>
        </w:rPr>
        <w:t xml:space="preserve">(Queensland) </w:t>
      </w:r>
      <w:r>
        <w:rPr>
          <w:rFonts w:cs="Arial"/>
        </w:rPr>
        <w:t>has 8</w:t>
      </w:r>
      <w:r w:rsidR="008E1CEE">
        <w:rPr>
          <w:rFonts w:cs="Arial"/>
        </w:rPr>
        <w:t>8</w:t>
      </w:r>
      <w:r>
        <w:rPr>
          <w:rFonts w:cs="Arial"/>
        </w:rPr>
        <w:t>%.</w:t>
      </w:r>
    </w:p>
    <w:p w:rsidR="006A7787" w:rsidRDefault="006A7787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Brisbane </w:t>
      </w:r>
      <w:r w:rsidR="00CA1F54">
        <w:rPr>
          <w:rFonts w:cs="Arial"/>
        </w:rPr>
        <w:t xml:space="preserve">(Queensland) </w:t>
      </w:r>
      <w:r>
        <w:rPr>
          <w:rFonts w:cs="Arial"/>
        </w:rPr>
        <w:t xml:space="preserve">has </w:t>
      </w:r>
      <w:r w:rsidR="008E1CEE">
        <w:rPr>
          <w:rFonts w:cs="Arial"/>
        </w:rPr>
        <w:t>85</w:t>
      </w:r>
      <w:r>
        <w:rPr>
          <w:rFonts w:cs="Arial"/>
        </w:rPr>
        <w:t>%.</w:t>
      </w:r>
    </w:p>
    <w:p w:rsidR="006A7787" w:rsidRDefault="006A7787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Cairns </w:t>
      </w:r>
      <w:r w:rsidR="00CA1F54">
        <w:rPr>
          <w:rFonts w:cs="Arial"/>
        </w:rPr>
        <w:t xml:space="preserve">(Queensland) </w:t>
      </w:r>
      <w:r w:rsidR="008E1CEE">
        <w:rPr>
          <w:rFonts w:cs="Arial"/>
        </w:rPr>
        <w:t>has 89</w:t>
      </w:r>
      <w:r>
        <w:rPr>
          <w:rFonts w:cs="Arial"/>
        </w:rPr>
        <w:t>%.</w:t>
      </w:r>
    </w:p>
    <w:p w:rsidR="006A7787" w:rsidRDefault="006A7787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6A7787">
        <w:rPr>
          <w:rFonts w:cs="Arial"/>
        </w:rPr>
        <w:t>Maryborough</w:t>
      </w:r>
      <w:r>
        <w:rPr>
          <w:rFonts w:cs="Arial"/>
        </w:rPr>
        <w:t xml:space="preserve"> </w:t>
      </w:r>
      <w:r w:rsidR="00CA1F54">
        <w:rPr>
          <w:rFonts w:cs="Arial"/>
        </w:rPr>
        <w:t xml:space="preserve">(Queensland) </w:t>
      </w:r>
      <w:r>
        <w:rPr>
          <w:rFonts w:cs="Arial"/>
        </w:rPr>
        <w:t>has 8</w:t>
      </w:r>
      <w:r w:rsidR="008E1CEE">
        <w:rPr>
          <w:rFonts w:cs="Arial"/>
        </w:rPr>
        <w:t>9</w:t>
      </w:r>
      <w:r>
        <w:rPr>
          <w:rFonts w:cs="Arial"/>
        </w:rPr>
        <w:t>%.</w:t>
      </w:r>
    </w:p>
    <w:p w:rsidR="008E1CEE" w:rsidRDefault="008E1CEE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Limestone Coast (South Australia) has 100%.</w:t>
      </w:r>
    </w:p>
    <w:p w:rsidR="008E1CEE" w:rsidRDefault="008E1CEE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Murray and Mallee (South Australia) has 100%.</w:t>
      </w:r>
    </w:p>
    <w:p w:rsidR="00BA47DB" w:rsidRDefault="00BA47DB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Western Adelaide (South Australia) has 83%.</w:t>
      </w:r>
    </w:p>
    <w:p w:rsidR="008E1CEE" w:rsidRDefault="008E1CEE" w:rsidP="006A778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proofErr w:type="spellStart"/>
      <w:r>
        <w:rPr>
          <w:rFonts w:cs="Arial"/>
        </w:rPr>
        <w:t>Yorke</w:t>
      </w:r>
      <w:proofErr w:type="spellEnd"/>
      <w:r>
        <w:rPr>
          <w:rFonts w:cs="Arial"/>
        </w:rPr>
        <w:t xml:space="preserve"> and Mid North (South Australia) has 100%.</w:t>
      </w:r>
    </w:p>
    <w:p w:rsidR="00B94DA7" w:rsidRDefault="00B94DA7" w:rsidP="00B94DA7">
      <w:pPr>
        <w:jc w:val="both"/>
        <w:rPr>
          <w:rFonts w:cs="Arial"/>
        </w:rPr>
      </w:pPr>
    </w:p>
    <w:p w:rsidR="00AB38DA" w:rsidRDefault="00AB38DA" w:rsidP="00AB38DA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AB38DA">
        <w:rPr>
          <w:rFonts w:cs="Arial"/>
        </w:rPr>
        <w:t>provider growth</w:t>
      </w:r>
      <w:r>
        <w:rPr>
          <w:rFonts w:cs="Arial"/>
        </w:rPr>
        <w:t>, the 10% regions showing lowest growth are as follows.</w:t>
      </w:r>
    </w:p>
    <w:p w:rsidR="00AB38DA" w:rsidRDefault="00AB38DA" w:rsidP="00AB38D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Far West (New South Wales) has 0%.</w:t>
      </w:r>
    </w:p>
    <w:p w:rsidR="00AB38DA" w:rsidRDefault="00AB38DA" w:rsidP="00AB38D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Adelaide Hills (South Australia) has 0%.</w:t>
      </w:r>
    </w:p>
    <w:p w:rsidR="00AB38DA" w:rsidRDefault="00AB38DA" w:rsidP="00AB38D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Australian Capital Territory has 2%.</w:t>
      </w:r>
    </w:p>
    <w:p w:rsidR="00AB38DA" w:rsidRDefault="00AB38DA" w:rsidP="00AB38D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Barkly (Northern Territory) has 0%.</w:t>
      </w:r>
    </w:p>
    <w:p w:rsidR="00AB38DA" w:rsidRDefault="00AB38DA" w:rsidP="00AB38D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Darwin Remote (Northern Territory) has 0%.</w:t>
      </w:r>
    </w:p>
    <w:p w:rsidR="00AB38DA" w:rsidRDefault="00AB38DA" w:rsidP="00AB38D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East Arnhem (Northern Territory) has 0%.</w:t>
      </w:r>
    </w:p>
    <w:p w:rsidR="00AB38DA" w:rsidRDefault="00AB38DA" w:rsidP="00AB38DA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Wheat Belt (Western Australia) has 0%.</w:t>
      </w:r>
    </w:p>
    <w:p w:rsidR="00AB38DA" w:rsidRDefault="00AB38DA" w:rsidP="00AB38DA">
      <w:pPr>
        <w:jc w:val="both"/>
        <w:rPr>
          <w:rFonts w:cs="Arial"/>
        </w:rPr>
      </w:pPr>
    </w:p>
    <w:p w:rsidR="00AB38DA" w:rsidRDefault="00AB2584" w:rsidP="00B94DA7">
      <w:pPr>
        <w:jc w:val="both"/>
        <w:rPr>
          <w:rFonts w:cs="Arial"/>
        </w:rPr>
      </w:pPr>
      <w:r>
        <w:rPr>
          <w:rFonts w:cs="Arial"/>
        </w:rPr>
        <w:t xml:space="preserve">Note that for </w:t>
      </w:r>
      <w:r w:rsidRPr="00AB2584">
        <w:rPr>
          <w:rFonts w:cs="Arial"/>
          <w:b/>
        </w:rPr>
        <w:t>provider shrinkage</w:t>
      </w:r>
      <w:r>
        <w:rPr>
          <w:rFonts w:cs="Arial"/>
        </w:rPr>
        <w:t>, 19 of the 64 regions (30%) show no shrinkage.</w:t>
      </w:r>
    </w:p>
    <w:p w:rsidR="00AB38DA" w:rsidRDefault="00AB38DA" w:rsidP="00B94DA7">
      <w:pPr>
        <w:jc w:val="both"/>
        <w:rPr>
          <w:rFonts w:cs="Arial"/>
        </w:rPr>
      </w:pPr>
    </w:p>
    <w:p w:rsidR="009A78AA" w:rsidRDefault="00B94DA7" w:rsidP="009A78AA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provider shrinkage</w:t>
      </w:r>
      <w:r>
        <w:rPr>
          <w:rFonts w:cs="Arial"/>
        </w:rPr>
        <w:t xml:space="preserve">, </w:t>
      </w:r>
      <w:r w:rsidR="008E1CEE">
        <w:rPr>
          <w:rFonts w:cs="Arial"/>
        </w:rPr>
        <w:t xml:space="preserve">the </w:t>
      </w:r>
      <w:r w:rsidR="009A78AA">
        <w:rPr>
          <w:rFonts w:cs="Arial"/>
        </w:rPr>
        <w:t xml:space="preserve">10% regions </w:t>
      </w:r>
      <w:r w:rsidR="008E1CEE">
        <w:rPr>
          <w:rFonts w:cs="Arial"/>
        </w:rPr>
        <w:t xml:space="preserve">showing the highest shrinkage </w:t>
      </w:r>
      <w:r w:rsidR="009A78AA">
        <w:rPr>
          <w:rFonts w:cs="Arial"/>
        </w:rPr>
        <w:t>are as follows.</w:t>
      </w:r>
    </w:p>
    <w:p w:rsidR="00BF032E" w:rsidRDefault="008E1CEE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Central</w:t>
      </w:r>
      <w:r w:rsidR="008D4CA8">
        <w:rPr>
          <w:rFonts w:cs="Arial"/>
        </w:rPr>
        <w:t xml:space="preserve"> Coast </w:t>
      </w:r>
      <w:r w:rsidR="00CA1F54">
        <w:rPr>
          <w:rFonts w:cs="Arial"/>
        </w:rPr>
        <w:t xml:space="preserve">(New South Wales) </w:t>
      </w:r>
      <w:r w:rsidR="008D4CA8">
        <w:rPr>
          <w:rFonts w:cs="Arial"/>
        </w:rPr>
        <w:t>has provider shrinkage of 2</w:t>
      </w:r>
      <w:r>
        <w:rPr>
          <w:rFonts w:cs="Arial"/>
        </w:rPr>
        <w:t>5</w:t>
      </w:r>
      <w:r w:rsidR="008D4CA8">
        <w:rPr>
          <w:rFonts w:cs="Arial"/>
        </w:rPr>
        <w:t>% since the previous exposure period.</w:t>
      </w:r>
    </w:p>
    <w:p w:rsidR="00E75D69" w:rsidRDefault="00E75D69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 North Coast (New South Wales) has 23%.</w:t>
      </w:r>
    </w:p>
    <w:p w:rsidR="00BA47DB" w:rsidRPr="00BA47DB" w:rsidRDefault="00BA47DB" w:rsidP="00BA47D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Western NSW </w:t>
      </w:r>
      <w:r>
        <w:rPr>
          <w:rFonts w:cs="Arial"/>
        </w:rPr>
        <w:t>(New South Wales) has 2</w:t>
      </w:r>
      <w:r>
        <w:rPr>
          <w:rFonts w:cs="Arial"/>
        </w:rPr>
        <w:t>1</w:t>
      </w:r>
      <w:r>
        <w:rPr>
          <w:rFonts w:cs="Arial"/>
        </w:rPr>
        <w:t>%.</w:t>
      </w:r>
    </w:p>
    <w:p w:rsidR="008D4CA8" w:rsidRDefault="00E75D69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 East Melbourne</w:t>
      </w:r>
      <w:r w:rsidR="008D4CA8">
        <w:rPr>
          <w:rFonts w:cs="Arial"/>
        </w:rPr>
        <w:t xml:space="preserve"> </w:t>
      </w:r>
      <w:r w:rsidR="00CA1F54">
        <w:rPr>
          <w:rFonts w:cs="Arial"/>
        </w:rPr>
        <w:t xml:space="preserve">(Victoria) </w:t>
      </w:r>
      <w:r w:rsidR="008D4CA8">
        <w:rPr>
          <w:rFonts w:cs="Arial"/>
        </w:rPr>
        <w:t xml:space="preserve">has </w:t>
      </w:r>
      <w:r>
        <w:rPr>
          <w:rFonts w:cs="Arial"/>
        </w:rPr>
        <w:t>22</w:t>
      </w:r>
      <w:r w:rsidR="008D4CA8">
        <w:rPr>
          <w:rFonts w:cs="Arial"/>
        </w:rPr>
        <w:t>%.</w:t>
      </w:r>
    </w:p>
    <w:p w:rsidR="008D4CA8" w:rsidRDefault="008E1CEE" w:rsidP="008D4CA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Eyre and Western</w:t>
      </w:r>
      <w:r w:rsidR="008D4CA8">
        <w:rPr>
          <w:rFonts w:cs="Arial"/>
        </w:rPr>
        <w:t xml:space="preserve"> </w:t>
      </w:r>
      <w:r w:rsidR="00CA1F54">
        <w:rPr>
          <w:rFonts w:cs="Arial"/>
        </w:rPr>
        <w:t xml:space="preserve">(South Australia) </w:t>
      </w:r>
      <w:r w:rsidR="008D4CA8">
        <w:rPr>
          <w:rFonts w:cs="Arial"/>
        </w:rPr>
        <w:t xml:space="preserve">has </w:t>
      </w:r>
      <w:r>
        <w:rPr>
          <w:rFonts w:cs="Arial"/>
        </w:rPr>
        <w:t>50</w:t>
      </w:r>
      <w:r w:rsidR="008D4CA8">
        <w:rPr>
          <w:rFonts w:cs="Arial"/>
        </w:rPr>
        <w:t>%.</w:t>
      </w:r>
    </w:p>
    <w:p w:rsidR="008D4CA8" w:rsidRDefault="008E1CEE" w:rsidP="008D4CA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Central Australia</w:t>
      </w:r>
      <w:r w:rsidR="008D4CA8">
        <w:rPr>
          <w:rFonts w:cs="Arial"/>
        </w:rPr>
        <w:t xml:space="preserve"> </w:t>
      </w:r>
      <w:r w:rsidR="00CA1F54">
        <w:rPr>
          <w:rFonts w:cs="Arial"/>
        </w:rPr>
        <w:t>(</w:t>
      </w:r>
      <w:r>
        <w:rPr>
          <w:rFonts w:cs="Arial"/>
        </w:rPr>
        <w:t>Northern Territory</w:t>
      </w:r>
      <w:r w:rsidR="00CA1F54">
        <w:rPr>
          <w:rFonts w:cs="Arial"/>
        </w:rPr>
        <w:t xml:space="preserve">) </w:t>
      </w:r>
      <w:r w:rsidR="008D4CA8">
        <w:rPr>
          <w:rFonts w:cs="Arial"/>
        </w:rPr>
        <w:t>has 2</w:t>
      </w:r>
      <w:r>
        <w:rPr>
          <w:rFonts w:cs="Arial"/>
        </w:rPr>
        <w:t>7</w:t>
      </w:r>
      <w:r w:rsidR="008D4CA8">
        <w:rPr>
          <w:rFonts w:cs="Arial"/>
        </w:rPr>
        <w:t>%.</w:t>
      </w:r>
    </w:p>
    <w:p w:rsidR="008E1CEE" w:rsidRDefault="008E1CEE" w:rsidP="008E1CE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Katherine (Northern Territory) has 30%.</w:t>
      </w:r>
    </w:p>
    <w:p w:rsidR="008E1CEE" w:rsidRPr="00BF032E" w:rsidRDefault="008E1CEE" w:rsidP="008E1CE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Central South Metro (Western Australia) has 29%.</w:t>
      </w:r>
    </w:p>
    <w:p w:rsidR="006A7787" w:rsidRDefault="006A7787" w:rsidP="006A7787">
      <w:pPr>
        <w:jc w:val="both"/>
        <w:rPr>
          <w:rFonts w:cs="Arial"/>
        </w:rPr>
      </w:pPr>
    </w:p>
    <w:p w:rsidR="006A7787" w:rsidRDefault="006A7787" w:rsidP="006A7787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282FD8">
        <w:rPr>
          <w:rFonts w:cs="Arial"/>
          <w:b/>
        </w:rPr>
        <w:t>utilisation</w:t>
      </w:r>
      <w:r>
        <w:rPr>
          <w:rFonts w:cs="Arial"/>
        </w:rPr>
        <w:t>, the top 10% regions are as follows.</w:t>
      </w:r>
    </w:p>
    <w:p w:rsidR="006A7787" w:rsidRDefault="001A6C5E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Murrumbidgee</w:t>
      </w:r>
      <w:r w:rsidR="008D4CA8">
        <w:rPr>
          <w:rFonts w:cs="Arial"/>
        </w:rPr>
        <w:t xml:space="preserve"> </w:t>
      </w:r>
      <w:r w:rsidR="00CA1F54">
        <w:rPr>
          <w:rFonts w:cs="Arial"/>
        </w:rPr>
        <w:t xml:space="preserve">(New South Wales) </w:t>
      </w:r>
      <w:r w:rsidR="008D4CA8">
        <w:rPr>
          <w:rFonts w:cs="Arial"/>
        </w:rPr>
        <w:t xml:space="preserve">has </w:t>
      </w:r>
      <w:proofErr w:type="gramStart"/>
      <w:r w:rsidR="008D4CA8">
        <w:rPr>
          <w:rFonts w:cs="Arial"/>
        </w:rPr>
        <w:t>a</w:t>
      </w:r>
      <w:proofErr w:type="gramEnd"/>
      <w:r w:rsidR="008D4CA8">
        <w:rPr>
          <w:rFonts w:cs="Arial"/>
        </w:rPr>
        <w:t xml:space="preserve"> utilisation rate of </w:t>
      </w:r>
      <w:r>
        <w:rPr>
          <w:rFonts w:cs="Arial"/>
        </w:rPr>
        <w:t>92</w:t>
      </w:r>
      <w:r w:rsidR="008D4CA8">
        <w:rPr>
          <w:rFonts w:cs="Arial"/>
        </w:rPr>
        <w:t>%.</w:t>
      </w:r>
    </w:p>
    <w:p w:rsidR="001A6C5E" w:rsidRDefault="001A6C5E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Central Highlands (Victoria) has 90%.</w:t>
      </w:r>
    </w:p>
    <w:p w:rsidR="008D4CA8" w:rsidRDefault="008D4CA8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lastRenderedPageBreak/>
        <w:t xml:space="preserve">Hume Moreland </w:t>
      </w:r>
      <w:r w:rsidR="00CA1F54">
        <w:rPr>
          <w:rFonts w:cs="Arial"/>
        </w:rPr>
        <w:t>(</w:t>
      </w:r>
      <w:r w:rsidR="005A0F26">
        <w:rPr>
          <w:rFonts w:cs="Arial"/>
        </w:rPr>
        <w:t>Victoria</w:t>
      </w:r>
      <w:r w:rsidR="00CA1F54">
        <w:rPr>
          <w:rFonts w:cs="Arial"/>
        </w:rPr>
        <w:t xml:space="preserve">) </w:t>
      </w:r>
      <w:r>
        <w:rPr>
          <w:rFonts w:cs="Arial"/>
        </w:rPr>
        <w:t xml:space="preserve">has </w:t>
      </w:r>
      <w:r w:rsidR="001A6C5E">
        <w:rPr>
          <w:rFonts w:cs="Arial"/>
        </w:rPr>
        <w:t>90%.</w:t>
      </w:r>
    </w:p>
    <w:p w:rsidR="001A6C5E" w:rsidRDefault="00BA47DB" w:rsidP="001A6C5E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North East Melbourne (Victoria) has 90</w:t>
      </w:r>
      <w:r w:rsidR="001A6C5E">
        <w:rPr>
          <w:rFonts w:cs="Arial"/>
        </w:rPr>
        <w:t>%.</w:t>
      </w:r>
    </w:p>
    <w:p w:rsidR="001A6C5E" w:rsidRDefault="001A6C5E" w:rsidP="001A6C5E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Adelaide Hills (South Australia) has 92%.</w:t>
      </w:r>
    </w:p>
    <w:p w:rsidR="001A6C5E" w:rsidRPr="00215A03" w:rsidRDefault="001A6C5E" w:rsidP="00215A03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Eastern Adelaide (South Australia) has 87%.</w:t>
      </w:r>
    </w:p>
    <w:p w:rsidR="008D4CA8" w:rsidRDefault="008D4CA8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South Metro </w:t>
      </w:r>
      <w:r w:rsidR="00CA1F54">
        <w:rPr>
          <w:rFonts w:cs="Arial"/>
        </w:rPr>
        <w:t xml:space="preserve">(Western Australia) </w:t>
      </w:r>
      <w:r>
        <w:rPr>
          <w:rFonts w:cs="Arial"/>
        </w:rPr>
        <w:t xml:space="preserve">has </w:t>
      </w:r>
      <w:r w:rsidR="001A6C5E">
        <w:rPr>
          <w:rFonts w:cs="Arial"/>
        </w:rPr>
        <w:t>91</w:t>
      </w:r>
      <w:r>
        <w:rPr>
          <w:rFonts w:cs="Arial"/>
        </w:rPr>
        <w:t>%.</w:t>
      </w:r>
    </w:p>
    <w:p w:rsidR="008D4CA8" w:rsidRDefault="001A6C5E" w:rsidP="006A778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Central South Metro</w:t>
      </w:r>
      <w:r w:rsidR="008D4CA8">
        <w:rPr>
          <w:rFonts w:cs="Arial"/>
        </w:rPr>
        <w:t xml:space="preserve"> </w:t>
      </w:r>
      <w:r w:rsidR="00CA1F54">
        <w:rPr>
          <w:rFonts w:cs="Arial"/>
        </w:rPr>
        <w:t xml:space="preserve">(Western Australia) </w:t>
      </w:r>
      <w:r w:rsidR="008D4CA8">
        <w:rPr>
          <w:rFonts w:cs="Arial"/>
        </w:rPr>
        <w:t xml:space="preserve">has </w:t>
      </w:r>
      <w:r>
        <w:rPr>
          <w:rFonts w:cs="Arial"/>
        </w:rPr>
        <w:t>88</w:t>
      </w:r>
      <w:r w:rsidR="008D4CA8">
        <w:rPr>
          <w:rFonts w:cs="Arial"/>
        </w:rPr>
        <w:t>%.</w:t>
      </w:r>
    </w:p>
    <w:p w:rsidR="006A7787" w:rsidRPr="009A78AA" w:rsidRDefault="006A7787" w:rsidP="006A7787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regions are as follows.</w:t>
      </w:r>
    </w:p>
    <w:p w:rsidR="006A7787" w:rsidRDefault="001A6C5E" w:rsidP="006A778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Bayside Peninsula</w:t>
      </w:r>
      <w:r w:rsidR="00330CEF">
        <w:rPr>
          <w:rFonts w:cs="Arial"/>
        </w:rPr>
        <w:t xml:space="preserve"> in</w:t>
      </w:r>
      <w:r w:rsidR="00CA1F54">
        <w:rPr>
          <w:rFonts w:cs="Arial"/>
        </w:rPr>
        <w:t xml:space="preserve"> (Victoria) </w:t>
      </w:r>
      <w:r w:rsidR="00330CEF">
        <w:rPr>
          <w:rFonts w:cs="Arial"/>
        </w:rPr>
        <w:t xml:space="preserve">has </w:t>
      </w:r>
      <w:proofErr w:type="gramStart"/>
      <w:r w:rsidR="00330CEF">
        <w:rPr>
          <w:rFonts w:cs="Arial"/>
        </w:rPr>
        <w:t>a</w:t>
      </w:r>
      <w:proofErr w:type="gramEnd"/>
      <w:r w:rsidR="00330CEF">
        <w:rPr>
          <w:rFonts w:cs="Arial"/>
        </w:rPr>
        <w:t xml:space="preserve"> utilisation rate of </w:t>
      </w:r>
      <w:r>
        <w:rPr>
          <w:rFonts w:cs="Arial"/>
        </w:rPr>
        <w:t>70</w:t>
      </w:r>
      <w:r w:rsidR="00330CEF">
        <w:rPr>
          <w:rFonts w:cs="Arial"/>
        </w:rPr>
        <w:t>%.</w:t>
      </w:r>
    </w:p>
    <w:p w:rsidR="00330CEF" w:rsidRDefault="00215A03" w:rsidP="006A778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Inner Gippsland</w:t>
      </w:r>
      <w:r w:rsidR="00330CEF">
        <w:rPr>
          <w:rFonts w:cs="Arial"/>
        </w:rPr>
        <w:t xml:space="preserve"> </w:t>
      </w:r>
      <w:r>
        <w:rPr>
          <w:rFonts w:cs="Arial"/>
        </w:rPr>
        <w:t>(Victoria</w:t>
      </w:r>
      <w:r w:rsidR="00330CEF">
        <w:rPr>
          <w:rFonts w:cs="Arial"/>
        </w:rPr>
        <w:t xml:space="preserve">) has </w:t>
      </w:r>
      <w:r>
        <w:rPr>
          <w:rFonts w:cs="Arial"/>
        </w:rPr>
        <w:t>72</w:t>
      </w:r>
      <w:r w:rsidR="00330CEF">
        <w:rPr>
          <w:rFonts w:cs="Arial"/>
        </w:rPr>
        <w:t>%.</w:t>
      </w:r>
    </w:p>
    <w:p w:rsidR="00BA47DB" w:rsidRDefault="00BA47DB" w:rsidP="006A778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Barossa, Light and Lower North (South Australia) has 76%.</w:t>
      </w:r>
    </w:p>
    <w:p w:rsidR="00215A03" w:rsidRDefault="00215A03" w:rsidP="006A778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North (South Australia) has 69%.</w:t>
      </w:r>
    </w:p>
    <w:p w:rsidR="00215A03" w:rsidRDefault="00215A03" w:rsidP="006A778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>
        <w:rPr>
          <w:rFonts w:cs="Arial"/>
        </w:rPr>
        <w:t>Fleurieu</w:t>
      </w:r>
      <w:proofErr w:type="spellEnd"/>
      <w:r>
        <w:rPr>
          <w:rFonts w:cs="Arial"/>
        </w:rPr>
        <w:t xml:space="preserve"> and Kangaroo Island (South Australia) has 73%.</w:t>
      </w:r>
    </w:p>
    <w:p w:rsidR="00215A03" w:rsidRDefault="00215A03" w:rsidP="006A778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Murray and Mallee (South Australia) has 61%.</w:t>
      </w:r>
    </w:p>
    <w:p w:rsidR="00330CEF" w:rsidRDefault="00330CEF" w:rsidP="006A778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</w:t>
      </w:r>
      <w:r w:rsidR="00CA1F54">
        <w:rPr>
          <w:rFonts w:cs="Arial"/>
        </w:rPr>
        <w:t xml:space="preserve">(Northern Territory) </w:t>
      </w:r>
      <w:r>
        <w:rPr>
          <w:rFonts w:cs="Arial"/>
        </w:rPr>
        <w:t xml:space="preserve">has </w:t>
      </w:r>
      <w:r w:rsidR="00215A03">
        <w:rPr>
          <w:rFonts w:cs="Arial"/>
        </w:rPr>
        <w:t>68</w:t>
      </w:r>
      <w:r>
        <w:rPr>
          <w:rFonts w:cs="Arial"/>
        </w:rPr>
        <w:t>%.</w:t>
      </w:r>
    </w:p>
    <w:p w:rsidR="006A7787" w:rsidRDefault="006A7787" w:rsidP="00B94DA7">
      <w:pPr>
        <w:jc w:val="both"/>
        <w:rPr>
          <w:rFonts w:cs="Arial"/>
        </w:rPr>
      </w:pPr>
    </w:p>
    <w:p w:rsidR="009A78AA" w:rsidRDefault="00B94DA7" w:rsidP="009A78AA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outcomes indicator on choice and control</w:t>
      </w:r>
      <w:r>
        <w:rPr>
          <w:rFonts w:cs="Arial"/>
        </w:rPr>
        <w:t xml:space="preserve">, </w:t>
      </w:r>
      <w:r w:rsidR="009A78AA">
        <w:rPr>
          <w:rFonts w:cs="Arial"/>
        </w:rPr>
        <w:t>the top 10% regions are as follows.</w:t>
      </w:r>
    </w:p>
    <w:p w:rsidR="00215A03" w:rsidRDefault="00215A03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Cairns (Queensland) has </w:t>
      </w:r>
      <w:r w:rsidR="00E75D69">
        <w:rPr>
          <w:rFonts w:cs="Arial"/>
        </w:rPr>
        <w:t xml:space="preserve">an outcomes indicator of </w:t>
      </w:r>
      <w:r>
        <w:rPr>
          <w:rFonts w:cs="Arial"/>
        </w:rPr>
        <w:t>25%.</w:t>
      </w:r>
    </w:p>
    <w:p w:rsidR="00E75D69" w:rsidRDefault="00E75D69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Rockhampton (Queensland) has 22%</w:t>
      </w:r>
    </w:p>
    <w:p w:rsidR="00215A03" w:rsidRDefault="00215A03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Limestone Coast (South Australia) has 23%.</w:t>
      </w:r>
    </w:p>
    <w:p w:rsidR="00E75D69" w:rsidRDefault="00E75D69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Western Adelaide (South Australia) has 21%.</w:t>
      </w:r>
    </w:p>
    <w:p w:rsidR="00215A03" w:rsidRDefault="00215A03" w:rsidP="00215A0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TAS South West (Tasmania) has 24%.</w:t>
      </w:r>
    </w:p>
    <w:p w:rsidR="00215A03" w:rsidRDefault="00215A03" w:rsidP="00215A0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Australian Capital Territory has 23%.</w:t>
      </w:r>
    </w:p>
    <w:p w:rsidR="00215A03" w:rsidRDefault="00215A03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Wheat Belt (Western Australia) has 25%.</w:t>
      </w:r>
    </w:p>
    <w:p w:rsidR="00BF032E" w:rsidRPr="009A78AA" w:rsidRDefault="00BF032E" w:rsidP="00BF032E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regions are as follows.</w:t>
      </w:r>
    </w:p>
    <w:p w:rsidR="00E75D69" w:rsidRDefault="00E75D69" w:rsidP="00E75D6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75D69">
        <w:rPr>
          <w:rFonts w:cs="Arial"/>
        </w:rPr>
        <w:t xml:space="preserve">Barossa, Light and Lower North </w:t>
      </w:r>
      <w:r>
        <w:rPr>
          <w:rFonts w:cs="Arial"/>
        </w:rPr>
        <w:t>has an outcomes indicator of 6%.</w:t>
      </w:r>
    </w:p>
    <w:p w:rsidR="00B94DA7" w:rsidRDefault="00182AC8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North</w:t>
      </w:r>
      <w:r w:rsidR="00CC53C4">
        <w:rPr>
          <w:rFonts w:cs="Arial"/>
        </w:rPr>
        <w:t xml:space="preserve"> </w:t>
      </w:r>
      <w:r w:rsidR="00CA1F54">
        <w:rPr>
          <w:rFonts w:cs="Arial"/>
        </w:rPr>
        <w:t>(</w:t>
      </w:r>
      <w:r>
        <w:rPr>
          <w:rFonts w:cs="Arial"/>
        </w:rPr>
        <w:t>South Australia</w:t>
      </w:r>
      <w:r w:rsidR="00CA1F54">
        <w:rPr>
          <w:rFonts w:cs="Arial"/>
        </w:rPr>
        <w:t xml:space="preserve">) </w:t>
      </w:r>
      <w:r w:rsidR="00CC53C4">
        <w:rPr>
          <w:rFonts w:cs="Arial"/>
        </w:rPr>
        <w:t xml:space="preserve">has </w:t>
      </w:r>
      <w:r>
        <w:rPr>
          <w:rFonts w:cs="Arial"/>
        </w:rPr>
        <w:t>0</w:t>
      </w:r>
      <w:r w:rsidR="00CC53C4">
        <w:rPr>
          <w:rFonts w:cs="Arial"/>
        </w:rPr>
        <w:t>%.</w:t>
      </w:r>
    </w:p>
    <w:p w:rsidR="00182AC8" w:rsidRDefault="00182AC8" w:rsidP="00182AC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Barkly (Northern Territory) has 0%.</w:t>
      </w:r>
    </w:p>
    <w:p w:rsidR="00182AC8" w:rsidRDefault="00182AC8" w:rsidP="00182AC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Central Australia (Northern Territory) has 5%.</w:t>
      </w:r>
    </w:p>
    <w:p w:rsidR="00182AC8" w:rsidRDefault="00182AC8" w:rsidP="00182AC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Urban (Northern Territory) has 4%.</w:t>
      </w:r>
    </w:p>
    <w:p w:rsidR="00182AC8" w:rsidRDefault="009E6282" w:rsidP="00182AC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Katherine (Northern Territory) has 0%.</w:t>
      </w:r>
    </w:p>
    <w:p w:rsidR="00182AC8" w:rsidRPr="00182AC8" w:rsidRDefault="00182AC8" w:rsidP="009E6282">
      <w:pPr>
        <w:pStyle w:val="ListParagraph"/>
        <w:jc w:val="both"/>
        <w:rPr>
          <w:rFonts w:cs="Arial"/>
        </w:rPr>
      </w:pPr>
    </w:p>
    <w:p w:rsidR="00B94DA7" w:rsidRPr="00B94DA7" w:rsidRDefault="00B94DA7" w:rsidP="00B94DA7">
      <w:pPr>
        <w:rPr>
          <w:rFonts w:cs="Arial"/>
        </w:rPr>
      </w:pPr>
      <w:r w:rsidRPr="00B94DA7">
        <w:rPr>
          <w:rFonts w:cs="Arial"/>
        </w:rPr>
        <w:t xml:space="preserve">For </w:t>
      </w:r>
      <w:r w:rsidRPr="00B94DA7">
        <w:rPr>
          <w:rFonts w:cs="Arial"/>
          <w:b/>
        </w:rPr>
        <w:t>“Has NDIS helped with choice and control?” indicator</w:t>
      </w:r>
      <w:r>
        <w:rPr>
          <w:rFonts w:cs="Arial"/>
        </w:rPr>
        <w:t xml:space="preserve">, </w:t>
      </w:r>
      <w:r w:rsidR="009A78AA">
        <w:rPr>
          <w:rFonts w:cs="Arial"/>
        </w:rPr>
        <w:t>the top 10% regions are as follows.</w:t>
      </w:r>
    </w:p>
    <w:p w:rsidR="00B94DA7" w:rsidRDefault="00A42636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Hume Moreland</w:t>
      </w:r>
      <w:r w:rsidR="00AD5C60">
        <w:rPr>
          <w:rFonts w:cs="Arial"/>
        </w:rPr>
        <w:t xml:space="preserve"> (Victoria)</w:t>
      </w:r>
      <w:r w:rsidR="005A0F26">
        <w:rPr>
          <w:rFonts w:cs="Arial"/>
        </w:rPr>
        <w:t xml:space="preserve"> </w:t>
      </w:r>
      <w:r w:rsidR="00CC53C4">
        <w:rPr>
          <w:rFonts w:cs="Arial"/>
        </w:rPr>
        <w:t xml:space="preserve">has </w:t>
      </w:r>
      <w:r w:rsidR="005A0F26">
        <w:rPr>
          <w:rFonts w:cs="Arial"/>
        </w:rPr>
        <w:t xml:space="preserve">an indicator of </w:t>
      </w:r>
      <w:r>
        <w:rPr>
          <w:rFonts w:cs="Arial"/>
        </w:rPr>
        <w:t>90</w:t>
      </w:r>
      <w:r w:rsidR="00CC53C4">
        <w:rPr>
          <w:rFonts w:cs="Arial"/>
        </w:rPr>
        <w:t>%.</w:t>
      </w:r>
    </w:p>
    <w:p w:rsidR="00CC53C4" w:rsidRDefault="00AD5C60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Beenleigh</w:t>
      </w:r>
      <w:r w:rsidR="00281F13">
        <w:rPr>
          <w:rFonts w:cs="Arial"/>
        </w:rPr>
        <w:t xml:space="preserve"> </w:t>
      </w:r>
      <w:r w:rsidR="00CA1F54">
        <w:rPr>
          <w:rFonts w:cs="Arial"/>
        </w:rPr>
        <w:t xml:space="preserve">(Queensland) </w:t>
      </w:r>
      <w:r w:rsidR="00281F13">
        <w:rPr>
          <w:rFonts w:cs="Arial"/>
        </w:rPr>
        <w:t xml:space="preserve">has </w:t>
      </w:r>
      <w:r>
        <w:rPr>
          <w:rFonts w:cs="Arial"/>
        </w:rPr>
        <w:t>100</w:t>
      </w:r>
      <w:r w:rsidR="00281F13">
        <w:rPr>
          <w:rFonts w:cs="Arial"/>
        </w:rPr>
        <w:t>%.</w:t>
      </w:r>
    </w:p>
    <w:p w:rsidR="00AD5C60" w:rsidRDefault="00AD5C60" w:rsidP="00AD5C60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>
        <w:rPr>
          <w:rFonts w:cs="Arial"/>
        </w:rPr>
        <w:t>Fleurieu</w:t>
      </w:r>
      <w:proofErr w:type="spellEnd"/>
      <w:r>
        <w:rPr>
          <w:rFonts w:cs="Arial"/>
        </w:rPr>
        <w:t xml:space="preserve"> and Kangaroo Island (South Australia) has 100%.</w:t>
      </w:r>
    </w:p>
    <w:p w:rsidR="00AD5C60" w:rsidRDefault="00AD5C60" w:rsidP="00AD5C60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Murray and Mallee (South Australia) has 100%.</w:t>
      </w:r>
    </w:p>
    <w:p w:rsidR="00A42636" w:rsidRDefault="00A42636" w:rsidP="00A4263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TAS North West (Tasmania) has 88%.</w:t>
      </w:r>
    </w:p>
    <w:p w:rsidR="00281F13" w:rsidRDefault="00281F13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</w:t>
      </w:r>
      <w:r w:rsidR="00CA1F54">
        <w:rPr>
          <w:rFonts w:cs="Arial"/>
        </w:rPr>
        <w:t xml:space="preserve">(Northern Territory) </w:t>
      </w:r>
      <w:r>
        <w:rPr>
          <w:rFonts w:cs="Arial"/>
        </w:rPr>
        <w:t xml:space="preserve">has </w:t>
      </w:r>
      <w:r w:rsidR="00AD5C60">
        <w:rPr>
          <w:rFonts w:cs="Arial"/>
        </w:rPr>
        <w:t>100</w:t>
      </w:r>
      <w:r>
        <w:rPr>
          <w:rFonts w:cs="Arial"/>
        </w:rPr>
        <w:t>%.</w:t>
      </w:r>
    </w:p>
    <w:p w:rsidR="00AD5C60" w:rsidRDefault="00AD5C60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Wheat Belt (Western Australia) has 100%.</w:t>
      </w:r>
    </w:p>
    <w:p w:rsidR="00BF032E" w:rsidRPr="009A78AA" w:rsidRDefault="00BF032E" w:rsidP="00BF032E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regions are as follows.</w:t>
      </w:r>
    </w:p>
    <w:p w:rsidR="00B94DA7" w:rsidRDefault="00001DF2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Bayside Peninsula</w:t>
      </w:r>
      <w:r w:rsidR="00281F13">
        <w:rPr>
          <w:rFonts w:cs="Arial"/>
        </w:rPr>
        <w:t xml:space="preserve"> </w:t>
      </w:r>
      <w:r w:rsidR="00CA1F54">
        <w:rPr>
          <w:rFonts w:cs="Arial"/>
        </w:rPr>
        <w:t xml:space="preserve">(Victoria) </w:t>
      </w:r>
      <w:r w:rsidR="00281F13">
        <w:rPr>
          <w:rFonts w:cs="Arial"/>
        </w:rPr>
        <w:t>has 4</w:t>
      </w:r>
      <w:r>
        <w:rPr>
          <w:rFonts w:cs="Arial"/>
        </w:rPr>
        <w:t>9</w:t>
      </w:r>
      <w:r w:rsidR="00281F13">
        <w:rPr>
          <w:rFonts w:cs="Arial"/>
        </w:rPr>
        <w:t>%.</w:t>
      </w:r>
    </w:p>
    <w:p w:rsidR="00001DF2" w:rsidRDefault="00001DF2" w:rsidP="00001DF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Outer East Melbourne (Victoria) has 50%.</w:t>
      </w:r>
    </w:p>
    <w:p w:rsidR="00001DF2" w:rsidRDefault="00001DF2" w:rsidP="00001DF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01DF2">
        <w:rPr>
          <w:rFonts w:cs="Arial"/>
        </w:rPr>
        <w:lastRenderedPageBreak/>
        <w:t>Barossa, Light and Lower North</w:t>
      </w:r>
      <w:r>
        <w:rPr>
          <w:rFonts w:cs="Arial"/>
        </w:rPr>
        <w:t xml:space="preserve"> (South Australia) has 50%.</w:t>
      </w:r>
    </w:p>
    <w:p w:rsidR="00001DF2" w:rsidRDefault="00001DF2" w:rsidP="00001DF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has </w:t>
      </w:r>
      <w:r w:rsidR="00166236">
        <w:rPr>
          <w:rFonts w:cs="Arial"/>
        </w:rPr>
        <w:t>0</w:t>
      </w:r>
      <w:r>
        <w:rPr>
          <w:rFonts w:cs="Arial"/>
        </w:rPr>
        <w:t>%.</w:t>
      </w:r>
    </w:p>
    <w:p w:rsidR="00281F13" w:rsidRDefault="00166236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</w:t>
      </w:r>
      <w:r w:rsidR="00281F13">
        <w:rPr>
          <w:rFonts w:cs="Arial"/>
        </w:rPr>
        <w:t xml:space="preserve">imestone Coast </w:t>
      </w:r>
      <w:r w:rsidR="00CA1F54">
        <w:rPr>
          <w:rFonts w:cs="Arial"/>
        </w:rPr>
        <w:t xml:space="preserve">(South Australia) </w:t>
      </w:r>
      <w:r w:rsidR="00281F13">
        <w:rPr>
          <w:rFonts w:cs="Arial"/>
        </w:rPr>
        <w:t>has 4</w:t>
      </w:r>
      <w:r>
        <w:rPr>
          <w:rFonts w:cs="Arial"/>
        </w:rPr>
        <w:t>0</w:t>
      </w:r>
      <w:r w:rsidR="00281F13">
        <w:rPr>
          <w:rFonts w:cs="Arial"/>
        </w:rPr>
        <w:t>%.</w:t>
      </w:r>
    </w:p>
    <w:p w:rsidR="00D131FD" w:rsidRPr="00D131FD" w:rsidRDefault="00D131FD" w:rsidP="00D131F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Southern</w:t>
      </w:r>
      <w:bookmarkStart w:id="5" w:name="_GoBack"/>
      <w:bookmarkEnd w:id="5"/>
      <w:r>
        <w:rPr>
          <w:rFonts w:cs="Arial"/>
        </w:rPr>
        <w:t xml:space="preserve"> Adelaide (South Australia) has </w:t>
      </w:r>
      <w:r>
        <w:rPr>
          <w:rFonts w:cs="Arial"/>
        </w:rPr>
        <w:t>5</w:t>
      </w:r>
      <w:r>
        <w:rPr>
          <w:rFonts w:cs="Arial"/>
        </w:rPr>
        <w:t>0%.</w:t>
      </w:r>
    </w:p>
    <w:p w:rsidR="00166236" w:rsidRDefault="00166236" w:rsidP="0016623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Western Adelaide (South Australia) has 0%.</w:t>
      </w:r>
    </w:p>
    <w:p w:rsidR="00BF032E" w:rsidRPr="00B94DA7" w:rsidRDefault="00BF032E" w:rsidP="00B94DA7">
      <w:pPr>
        <w:jc w:val="both"/>
        <w:rPr>
          <w:rFonts w:cs="Arial"/>
        </w:rPr>
      </w:pPr>
    </w:p>
    <w:p w:rsidR="0013152A" w:rsidRPr="00205B30" w:rsidRDefault="00BF0755" w:rsidP="00B41A44">
      <w:pPr>
        <w:pStyle w:val="Heading2"/>
      </w:pPr>
      <w:bookmarkStart w:id="6" w:name="_Toc19104013"/>
      <w:r>
        <w:t>Page</w:t>
      </w:r>
      <w:r w:rsidR="0013152A">
        <w:t xml:space="preserve"> 2</w:t>
      </w:r>
      <w:r>
        <w:t>, Table 1</w:t>
      </w:r>
      <w:r w:rsidR="0013152A">
        <w:t xml:space="preserve">: </w:t>
      </w:r>
      <w:r>
        <w:t>Support category summary, for all bilateral regions</w:t>
      </w:r>
      <w:bookmarkEnd w:id="6"/>
    </w:p>
    <w:p w:rsidR="00B94DA7" w:rsidRDefault="00763823" w:rsidP="00B94DA7">
      <w:pPr>
        <w:jc w:val="both"/>
        <w:rPr>
          <w:rFonts w:cs="Arial"/>
        </w:rPr>
      </w:pPr>
      <w:r>
        <w:rPr>
          <w:rFonts w:cs="Arial"/>
        </w:rPr>
        <w:t xml:space="preserve">For each of the 15 support categories, the same </w:t>
      </w:r>
      <w:r w:rsidR="00504A6B">
        <w:rPr>
          <w:rFonts w:cs="Arial"/>
        </w:rPr>
        <w:t>7</w:t>
      </w:r>
      <w:r>
        <w:rPr>
          <w:rFonts w:cs="Arial"/>
        </w:rPr>
        <w:t xml:space="preserve"> indicators have been calculated.</w:t>
      </w:r>
      <w:r w:rsidR="00B94DA7" w:rsidRPr="00B94DA7">
        <w:rPr>
          <w:rFonts w:cs="Arial"/>
        </w:rPr>
        <w:t xml:space="preserve"> </w:t>
      </w:r>
      <w:r w:rsidR="00504A6B">
        <w:rPr>
          <w:rFonts w:cs="Arial"/>
        </w:rPr>
        <w:t xml:space="preserve">The number of active </w:t>
      </w:r>
      <w:r w:rsidR="00416380">
        <w:rPr>
          <w:rFonts w:cs="Arial"/>
        </w:rPr>
        <w:t xml:space="preserve">(SIL) </w:t>
      </w:r>
      <w:r w:rsidR="00504A6B">
        <w:rPr>
          <w:rFonts w:cs="Arial"/>
        </w:rPr>
        <w:t>participants with approved plans, the number of registered active providers, t</w:t>
      </w:r>
      <w:r w:rsidR="00504A6B" w:rsidRPr="00B41A44">
        <w:rPr>
          <w:rFonts w:cs="Arial"/>
        </w:rPr>
        <w:t>otal plan budgets</w:t>
      </w:r>
      <w:r w:rsidR="00504A6B">
        <w:rPr>
          <w:rFonts w:cs="Arial"/>
        </w:rPr>
        <w:t xml:space="preserve"> and total payments are also shown. The 7 indicators</w:t>
      </w:r>
      <w:r w:rsidR="00B94DA7">
        <w:rPr>
          <w:rFonts w:cs="Arial"/>
        </w:rPr>
        <w:t xml:space="preserve"> have a ‘traffic light system’ where the top 10% and bottom 10% </w:t>
      </w:r>
      <w:r w:rsidR="008675E1">
        <w:rPr>
          <w:rFonts w:cs="Arial"/>
        </w:rPr>
        <w:t xml:space="preserve">of </w:t>
      </w:r>
      <w:r w:rsidR="00B94DA7">
        <w:rPr>
          <w:rFonts w:cs="Arial"/>
        </w:rPr>
        <w:t xml:space="preserve">support categories </w:t>
      </w:r>
      <w:r w:rsidR="008675E1">
        <w:rPr>
          <w:rFonts w:cs="Arial"/>
        </w:rPr>
        <w:t xml:space="preserve">– by gap to benchmark – </w:t>
      </w:r>
      <w:r w:rsidR="00B94DA7">
        <w:rPr>
          <w:rFonts w:cs="Arial"/>
        </w:rPr>
        <w:t>are</w:t>
      </w:r>
      <w:r w:rsidR="008675E1">
        <w:rPr>
          <w:rFonts w:cs="Arial"/>
        </w:rPr>
        <w:t xml:space="preserve"> </w:t>
      </w:r>
      <w:r w:rsidR="00B94DA7">
        <w:rPr>
          <w:rFonts w:cs="Arial"/>
        </w:rPr>
        <w:t>highlighted.</w:t>
      </w:r>
    </w:p>
    <w:p w:rsidR="00B94DA7" w:rsidRDefault="00B94DA7" w:rsidP="00B94DA7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participants per provider</w:t>
      </w:r>
      <w:r>
        <w:rPr>
          <w:rFonts w:cs="Arial"/>
        </w:rPr>
        <w:t xml:space="preserve">, </w:t>
      </w:r>
      <w:r w:rsidR="009A78AA">
        <w:rPr>
          <w:rFonts w:cs="Arial"/>
        </w:rPr>
        <w:t xml:space="preserve">the top 10% </w:t>
      </w:r>
      <w:r w:rsidR="00D10A47">
        <w:rPr>
          <w:rFonts w:cs="Arial"/>
        </w:rPr>
        <w:t>support categories</w:t>
      </w:r>
      <w:r w:rsidR="009A78AA">
        <w:rPr>
          <w:rFonts w:cs="Arial"/>
        </w:rPr>
        <w:t xml:space="preserve"> are as follows.</w:t>
      </w:r>
    </w:p>
    <w:p w:rsidR="00504A6B" w:rsidRDefault="00504A6B" w:rsidP="00504A6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Home Living has </w:t>
      </w:r>
      <w:r w:rsidR="00416380">
        <w:rPr>
          <w:rFonts w:cs="Arial"/>
        </w:rPr>
        <w:t>4.7</w:t>
      </w:r>
      <w:r>
        <w:rPr>
          <w:rFonts w:cs="Arial"/>
        </w:rPr>
        <w:t xml:space="preserve"> participants per provider.</w:t>
      </w:r>
    </w:p>
    <w:p w:rsidR="00D10A47" w:rsidRDefault="00D10A47" w:rsidP="00D10A4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Lifelong Learning has </w:t>
      </w:r>
      <w:r w:rsidR="00416380">
        <w:rPr>
          <w:rFonts w:cs="Arial"/>
        </w:rPr>
        <w:t>3.0</w:t>
      </w:r>
      <w:r>
        <w:rPr>
          <w:rFonts w:cs="Arial"/>
        </w:rPr>
        <w:t>.</w:t>
      </w:r>
    </w:p>
    <w:p w:rsidR="00BF032E" w:rsidRPr="009A78AA" w:rsidRDefault="00BF032E" w:rsidP="00BF032E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</w:t>
      </w:r>
      <w:r w:rsidR="00D10A47">
        <w:rPr>
          <w:rFonts w:cs="Arial"/>
        </w:rPr>
        <w:t xml:space="preserve">support categories </w:t>
      </w:r>
      <w:r w:rsidRPr="009A78AA">
        <w:rPr>
          <w:rFonts w:cs="Arial"/>
        </w:rPr>
        <w:t>are as follows.</w:t>
      </w:r>
    </w:p>
    <w:p w:rsidR="00D10A47" w:rsidRDefault="00416380" w:rsidP="00D10A4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Core – Transport </w:t>
      </w:r>
      <w:r w:rsidR="00504A6B">
        <w:rPr>
          <w:rFonts w:cs="Arial"/>
        </w:rPr>
        <w:t xml:space="preserve">has </w:t>
      </w:r>
      <w:r>
        <w:rPr>
          <w:rFonts w:cs="Arial"/>
        </w:rPr>
        <w:t>53</w:t>
      </w:r>
      <w:r w:rsidR="00504A6B">
        <w:rPr>
          <w:rFonts w:cs="Arial"/>
        </w:rPr>
        <w:t>.</w:t>
      </w:r>
      <w:r>
        <w:rPr>
          <w:rFonts w:cs="Arial"/>
        </w:rPr>
        <w:t>6</w:t>
      </w:r>
      <w:r w:rsidR="00504A6B">
        <w:rPr>
          <w:rFonts w:cs="Arial"/>
        </w:rPr>
        <w:t xml:space="preserve"> </w:t>
      </w:r>
      <w:r w:rsidR="00D10A47">
        <w:rPr>
          <w:rFonts w:cs="Arial"/>
        </w:rPr>
        <w:t>participants per provider.</w:t>
      </w:r>
    </w:p>
    <w:p w:rsidR="00A31EE8" w:rsidRPr="00D10A47" w:rsidRDefault="00504A6B" w:rsidP="00D10A4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</w:t>
      </w:r>
      <w:r w:rsidR="00416380">
        <w:rPr>
          <w:rFonts w:cs="Arial"/>
        </w:rPr>
        <w:t>apital</w:t>
      </w:r>
      <w:r>
        <w:rPr>
          <w:rFonts w:cs="Arial"/>
        </w:rPr>
        <w:t xml:space="preserve"> – </w:t>
      </w:r>
      <w:r w:rsidR="00416380">
        <w:rPr>
          <w:rFonts w:cs="Arial"/>
        </w:rPr>
        <w:t>Home Modifications has 78.3.</w:t>
      </w:r>
    </w:p>
    <w:p w:rsidR="00BF032E" w:rsidRDefault="00BF032E" w:rsidP="00B94DA7">
      <w:pPr>
        <w:jc w:val="both"/>
        <w:rPr>
          <w:rFonts w:cs="Arial"/>
        </w:rPr>
      </w:pPr>
    </w:p>
    <w:p w:rsidR="00B94DA7" w:rsidRDefault="00B94DA7" w:rsidP="00B94DA7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provider concentration</w:t>
      </w:r>
      <w:r>
        <w:rPr>
          <w:rFonts w:cs="Arial"/>
        </w:rPr>
        <w:t xml:space="preserve">, </w:t>
      </w:r>
      <w:r w:rsidR="009A78AA">
        <w:rPr>
          <w:rFonts w:cs="Arial"/>
        </w:rPr>
        <w:t xml:space="preserve">the top 10% </w:t>
      </w:r>
      <w:r w:rsidR="00D10A47">
        <w:rPr>
          <w:rFonts w:cs="Arial"/>
        </w:rPr>
        <w:t xml:space="preserve">support categories </w:t>
      </w:r>
      <w:r w:rsidR="009A78AA">
        <w:rPr>
          <w:rFonts w:cs="Arial"/>
        </w:rPr>
        <w:t>are as follows.</w:t>
      </w:r>
    </w:p>
    <w:p w:rsidR="00416380" w:rsidRDefault="00416380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Core – Community has a provider concentration level of 18%.</w:t>
      </w:r>
    </w:p>
    <w:p w:rsidR="00D10A47" w:rsidRPr="00BF032E" w:rsidRDefault="00D10A47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Support Coordination has </w:t>
      </w:r>
      <w:r w:rsidR="00416380">
        <w:rPr>
          <w:rFonts w:cs="Arial"/>
        </w:rPr>
        <w:t>21</w:t>
      </w:r>
      <w:r>
        <w:rPr>
          <w:rFonts w:cs="Arial"/>
        </w:rPr>
        <w:t>%.</w:t>
      </w:r>
    </w:p>
    <w:p w:rsidR="00BF032E" w:rsidRPr="009A78AA" w:rsidRDefault="00BF032E" w:rsidP="00BF032E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</w:t>
      </w:r>
      <w:r w:rsidR="00D10A47">
        <w:rPr>
          <w:rFonts w:cs="Arial"/>
        </w:rPr>
        <w:t xml:space="preserve">support categories </w:t>
      </w:r>
      <w:r w:rsidRPr="009A78AA">
        <w:rPr>
          <w:rFonts w:cs="Arial"/>
        </w:rPr>
        <w:t>are as follows.</w:t>
      </w:r>
    </w:p>
    <w:p w:rsidR="00504A6B" w:rsidRPr="00D10A47" w:rsidRDefault="00504A6B" w:rsidP="00504A6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10A47">
        <w:rPr>
          <w:rFonts w:cs="Arial"/>
        </w:rPr>
        <w:t>Capacity Building – Home Living has</w:t>
      </w:r>
      <w:r w:rsidRPr="00504A6B">
        <w:rPr>
          <w:rFonts w:cs="Arial"/>
        </w:rPr>
        <w:t xml:space="preserve"> </w:t>
      </w:r>
      <w:r>
        <w:rPr>
          <w:rFonts w:cs="Arial"/>
        </w:rPr>
        <w:t>a provider concentration level of</w:t>
      </w:r>
      <w:r w:rsidRPr="00D10A47">
        <w:rPr>
          <w:rFonts w:cs="Arial"/>
        </w:rPr>
        <w:t xml:space="preserve"> </w:t>
      </w:r>
      <w:r w:rsidR="00416380">
        <w:rPr>
          <w:rFonts w:cs="Arial"/>
        </w:rPr>
        <w:t>97</w:t>
      </w:r>
      <w:r w:rsidRPr="00D10A47">
        <w:rPr>
          <w:rFonts w:cs="Arial"/>
        </w:rPr>
        <w:t>%.</w:t>
      </w:r>
    </w:p>
    <w:p w:rsidR="00D10A47" w:rsidRDefault="00D10A47" w:rsidP="00D10A4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Lifelong Learning has </w:t>
      </w:r>
      <w:r w:rsidR="00416380">
        <w:rPr>
          <w:rFonts w:cs="Arial"/>
        </w:rPr>
        <w:t>100</w:t>
      </w:r>
      <w:r>
        <w:rPr>
          <w:rFonts w:cs="Arial"/>
        </w:rPr>
        <w:t>%.</w:t>
      </w:r>
    </w:p>
    <w:p w:rsidR="00BF032E" w:rsidRDefault="00BF032E" w:rsidP="00B94DA7">
      <w:pPr>
        <w:jc w:val="both"/>
        <w:rPr>
          <w:rFonts w:cs="Arial"/>
        </w:rPr>
      </w:pPr>
    </w:p>
    <w:p w:rsidR="00B94DA7" w:rsidRPr="006704D5" w:rsidRDefault="00B94DA7" w:rsidP="006704D5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provider growth</w:t>
      </w:r>
      <w:r>
        <w:rPr>
          <w:rFonts w:cs="Arial"/>
        </w:rPr>
        <w:t xml:space="preserve">, </w:t>
      </w:r>
      <w:r w:rsidR="009A78AA">
        <w:rPr>
          <w:rFonts w:cs="Arial"/>
        </w:rPr>
        <w:t xml:space="preserve">the top 10% </w:t>
      </w:r>
      <w:r w:rsidR="00D10A47">
        <w:rPr>
          <w:rFonts w:cs="Arial"/>
        </w:rPr>
        <w:t xml:space="preserve">support categories </w:t>
      </w:r>
      <w:r w:rsidR="009A78AA">
        <w:rPr>
          <w:rFonts w:cs="Arial"/>
        </w:rPr>
        <w:t>are as follows.</w:t>
      </w:r>
    </w:p>
    <w:p w:rsidR="00416380" w:rsidRDefault="00416380" w:rsidP="00416380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Core – Daily Activities has provider growth of 24%</w:t>
      </w:r>
      <w:r w:rsidRPr="006704D5">
        <w:rPr>
          <w:rFonts w:cs="Arial"/>
        </w:rPr>
        <w:t xml:space="preserve"> </w:t>
      </w:r>
      <w:r>
        <w:rPr>
          <w:rFonts w:cs="Arial"/>
        </w:rPr>
        <w:t>since the previous exposure period.</w:t>
      </w:r>
    </w:p>
    <w:p w:rsidR="006704D5" w:rsidRDefault="00D10A47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Choice and Control has </w:t>
      </w:r>
      <w:r w:rsidR="00B5078B">
        <w:rPr>
          <w:rFonts w:cs="Arial"/>
        </w:rPr>
        <w:t>25</w:t>
      </w:r>
      <w:r>
        <w:rPr>
          <w:rFonts w:cs="Arial"/>
        </w:rPr>
        <w:t>%</w:t>
      </w:r>
      <w:r w:rsidR="006704D5">
        <w:rPr>
          <w:rFonts w:cs="Arial"/>
        </w:rPr>
        <w:t>.</w:t>
      </w:r>
    </w:p>
    <w:p w:rsidR="00A42636" w:rsidRPr="009A78AA" w:rsidRDefault="00A42636" w:rsidP="00A42636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</w:t>
      </w:r>
      <w:r>
        <w:rPr>
          <w:rFonts w:cs="Arial"/>
        </w:rPr>
        <w:t xml:space="preserve">support categories </w:t>
      </w:r>
      <w:r w:rsidRPr="009A78AA">
        <w:rPr>
          <w:rFonts w:cs="Arial"/>
        </w:rPr>
        <w:t>are as follows.</w:t>
      </w:r>
    </w:p>
    <w:p w:rsidR="00A42636" w:rsidRPr="00D10A47" w:rsidRDefault="00A42636" w:rsidP="00A4263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10A47">
        <w:rPr>
          <w:rFonts w:cs="Arial"/>
        </w:rPr>
        <w:t>Capacity Building – Home Living has</w:t>
      </w:r>
      <w:r w:rsidRPr="00504A6B">
        <w:rPr>
          <w:rFonts w:cs="Arial"/>
        </w:rPr>
        <w:t xml:space="preserve"> </w:t>
      </w:r>
      <w:r>
        <w:rPr>
          <w:rFonts w:cs="Arial"/>
        </w:rPr>
        <w:t>a provider growth level of</w:t>
      </w:r>
      <w:r w:rsidRPr="00D10A47">
        <w:rPr>
          <w:rFonts w:cs="Arial"/>
        </w:rPr>
        <w:t xml:space="preserve"> </w:t>
      </w:r>
      <w:r>
        <w:rPr>
          <w:rFonts w:cs="Arial"/>
        </w:rPr>
        <w:t>0</w:t>
      </w:r>
      <w:r w:rsidRPr="00D10A47">
        <w:rPr>
          <w:rFonts w:cs="Arial"/>
        </w:rPr>
        <w:t>%.</w:t>
      </w:r>
    </w:p>
    <w:p w:rsidR="00A42636" w:rsidRDefault="00A42636" w:rsidP="00A4263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Lifelong Learning has 0%.</w:t>
      </w:r>
    </w:p>
    <w:p w:rsidR="00A42636" w:rsidRDefault="00A42636" w:rsidP="00A42636">
      <w:pPr>
        <w:jc w:val="both"/>
        <w:rPr>
          <w:rFonts w:cs="Arial"/>
        </w:rPr>
      </w:pPr>
    </w:p>
    <w:p w:rsidR="00A42636" w:rsidRPr="00A42636" w:rsidRDefault="00A42636" w:rsidP="00A42636">
      <w:pPr>
        <w:jc w:val="both"/>
        <w:rPr>
          <w:rFonts w:cs="Arial"/>
        </w:rPr>
      </w:pPr>
      <w:r>
        <w:rPr>
          <w:rFonts w:cs="Arial"/>
        </w:rPr>
        <w:t xml:space="preserve">Note that for </w:t>
      </w:r>
      <w:r w:rsidRPr="00A42636">
        <w:rPr>
          <w:rFonts w:cs="Arial"/>
          <w:b/>
        </w:rPr>
        <w:t>provider shrinkage</w:t>
      </w:r>
      <w:r>
        <w:rPr>
          <w:rFonts w:cs="Arial"/>
        </w:rPr>
        <w:t>, Capacity Building – Choice and Control, Home Living and Lifelong Learning all showed no shrinkage/</w:t>
      </w:r>
    </w:p>
    <w:p w:rsidR="00A42636" w:rsidRDefault="00A42636" w:rsidP="00A42636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provider shrinkage</w:t>
      </w:r>
      <w:r>
        <w:rPr>
          <w:rFonts w:cs="Arial"/>
        </w:rPr>
        <w:t>, the bottom 10% support categories are as follows.</w:t>
      </w:r>
    </w:p>
    <w:p w:rsidR="00A42636" w:rsidRDefault="00A42636" w:rsidP="00A4263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Social and Civic has</w:t>
      </w:r>
      <w:r w:rsidRPr="00282FD8">
        <w:rPr>
          <w:rFonts w:cs="Arial"/>
        </w:rPr>
        <w:t xml:space="preserve"> </w:t>
      </w:r>
      <w:r>
        <w:rPr>
          <w:rFonts w:cs="Arial"/>
        </w:rPr>
        <w:t>provider shrinkage of 35% since the previous exposure period.</w:t>
      </w:r>
    </w:p>
    <w:p w:rsidR="00A42636" w:rsidRPr="00BF032E" w:rsidRDefault="00A42636" w:rsidP="00A4263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lastRenderedPageBreak/>
        <w:t>Capital – Home Modifications has 23%.</w:t>
      </w:r>
    </w:p>
    <w:p w:rsidR="00B94DA7" w:rsidRDefault="00B94DA7" w:rsidP="00B94DA7">
      <w:pPr>
        <w:jc w:val="both"/>
        <w:rPr>
          <w:rFonts w:cs="Arial"/>
        </w:rPr>
      </w:pPr>
    </w:p>
    <w:p w:rsidR="00282FD8" w:rsidRDefault="00282FD8" w:rsidP="00282FD8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282FD8">
        <w:rPr>
          <w:rFonts w:cs="Arial"/>
          <w:b/>
        </w:rPr>
        <w:t>utilisation</w:t>
      </w:r>
      <w:r>
        <w:rPr>
          <w:rFonts w:cs="Arial"/>
        </w:rPr>
        <w:t>, the top 10% support categories are as follows.</w:t>
      </w:r>
    </w:p>
    <w:p w:rsidR="00282FD8" w:rsidRDefault="00282FD8" w:rsidP="00282FD8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>
        <w:rPr>
          <w:rFonts w:cs="Arial"/>
        </w:rPr>
        <w:t xml:space="preserve">Core – </w:t>
      </w:r>
      <w:r w:rsidR="00767F7F">
        <w:rPr>
          <w:rFonts w:cs="Arial"/>
        </w:rPr>
        <w:t>Daily Activities</w:t>
      </w:r>
      <w:r>
        <w:rPr>
          <w:rFonts w:cs="Arial"/>
        </w:rPr>
        <w:t xml:space="preserve"> has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utilisation rate of 9</w:t>
      </w:r>
      <w:r w:rsidR="00767F7F">
        <w:rPr>
          <w:rFonts w:cs="Arial"/>
        </w:rPr>
        <w:t>4</w:t>
      </w:r>
      <w:r>
        <w:rPr>
          <w:rFonts w:cs="Arial"/>
        </w:rPr>
        <w:t>%.</w:t>
      </w:r>
    </w:p>
    <w:p w:rsidR="00282FD8" w:rsidRPr="00282FD8" w:rsidRDefault="00282FD8" w:rsidP="00282FD8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>
        <w:rPr>
          <w:rFonts w:cs="Arial"/>
        </w:rPr>
        <w:t xml:space="preserve">Capacity Building – Choice and Control has </w:t>
      </w:r>
      <w:r w:rsidR="00767F7F">
        <w:rPr>
          <w:rFonts w:cs="Arial"/>
        </w:rPr>
        <w:t>85</w:t>
      </w:r>
      <w:r>
        <w:rPr>
          <w:rFonts w:cs="Arial"/>
        </w:rPr>
        <w:t>%.</w:t>
      </w:r>
    </w:p>
    <w:p w:rsidR="00282FD8" w:rsidRPr="009A78AA" w:rsidRDefault="00282FD8" w:rsidP="00282FD8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</w:t>
      </w:r>
      <w:r>
        <w:rPr>
          <w:rFonts w:cs="Arial"/>
        </w:rPr>
        <w:t xml:space="preserve">support categories </w:t>
      </w:r>
      <w:r w:rsidRPr="009A78AA">
        <w:rPr>
          <w:rFonts w:cs="Arial"/>
        </w:rPr>
        <w:t>are as follows.</w:t>
      </w:r>
    </w:p>
    <w:p w:rsidR="00282FD8" w:rsidRDefault="00767F7F" w:rsidP="00282FD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Core – Consumables </w:t>
      </w:r>
      <w:r w:rsidR="00282FD8">
        <w:rPr>
          <w:rFonts w:cs="Arial"/>
        </w:rPr>
        <w:t xml:space="preserve">has </w:t>
      </w:r>
      <w:proofErr w:type="gramStart"/>
      <w:r w:rsidR="006704D5">
        <w:rPr>
          <w:rFonts w:cs="Arial"/>
        </w:rPr>
        <w:t>a</w:t>
      </w:r>
      <w:proofErr w:type="gramEnd"/>
      <w:r w:rsidR="006704D5">
        <w:rPr>
          <w:rFonts w:cs="Arial"/>
        </w:rPr>
        <w:t xml:space="preserve"> utilisation rate of </w:t>
      </w:r>
      <w:r>
        <w:rPr>
          <w:rFonts w:cs="Arial"/>
        </w:rPr>
        <w:t>33</w:t>
      </w:r>
      <w:r w:rsidR="00282FD8">
        <w:rPr>
          <w:rFonts w:cs="Arial"/>
        </w:rPr>
        <w:t>%.</w:t>
      </w:r>
    </w:p>
    <w:p w:rsidR="00282FD8" w:rsidRPr="00BF032E" w:rsidRDefault="00282FD8" w:rsidP="00282FD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Lifelong Learning has </w:t>
      </w:r>
      <w:r w:rsidR="00767F7F">
        <w:rPr>
          <w:rFonts w:cs="Arial"/>
        </w:rPr>
        <w:t>4</w:t>
      </w:r>
      <w:r>
        <w:rPr>
          <w:rFonts w:cs="Arial"/>
        </w:rPr>
        <w:t>%.</w:t>
      </w:r>
    </w:p>
    <w:p w:rsidR="00282FD8" w:rsidRDefault="00282FD8" w:rsidP="00282FD8">
      <w:pPr>
        <w:jc w:val="both"/>
        <w:rPr>
          <w:rFonts w:cs="Arial"/>
        </w:rPr>
      </w:pPr>
    </w:p>
    <w:p w:rsidR="00B94DA7" w:rsidRDefault="00B94DA7" w:rsidP="00B94DA7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Pr="00B94DA7">
        <w:rPr>
          <w:rFonts w:cs="Arial"/>
          <w:b/>
        </w:rPr>
        <w:t>outcomes indicator on choice and control</w:t>
      </w:r>
      <w:r>
        <w:rPr>
          <w:rFonts w:cs="Arial"/>
        </w:rPr>
        <w:t xml:space="preserve">, </w:t>
      </w:r>
      <w:r w:rsidR="009A78AA">
        <w:rPr>
          <w:rFonts w:cs="Arial"/>
        </w:rPr>
        <w:t xml:space="preserve">the top 10% </w:t>
      </w:r>
      <w:r w:rsidR="00D10A47">
        <w:rPr>
          <w:rFonts w:cs="Arial"/>
        </w:rPr>
        <w:t xml:space="preserve">support categories </w:t>
      </w:r>
      <w:r w:rsidR="009A78AA">
        <w:rPr>
          <w:rFonts w:cs="Arial"/>
        </w:rPr>
        <w:t>are as follows.</w:t>
      </w:r>
    </w:p>
    <w:p w:rsidR="00B94DA7" w:rsidRDefault="00426154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Employment </w:t>
      </w:r>
      <w:r w:rsidR="00282FD8">
        <w:rPr>
          <w:rFonts w:cs="Arial"/>
        </w:rPr>
        <w:t xml:space="preserve">has an outcomes indicator of </w:t>
      </w:r>
      <w:r>
        <w:rPr>
          <w:rFonts w:cs="Arial"/>
        </w:rPr>
        <w:t>21</w:t>
      </w:r>
      <w:r w:rsidR="00282FD8">
        <w:rPr>
          <w:rFonts w:cs="Arial"/>
        </w:rPr>
        <w:t>%.</w:t>
      </w:r>
    </w:p>
    <w:p w:rsidR="00282FD8" w:rsidRPr="00BF032E" w:rsidRDefault="00426154" w:rsidP="0042615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26154">
        <w:rPr>
          <w:rFonts w:cs="Arial"/>
        </w:rPr>
        <w:t>Capacity Building – Home Living</w:t>
      </w:r>
      <w:r>
        <w:rPr>
          <w:rFonts w:cs="Arial"/>
        </w:rPr>
        <w:t xml:space="preserve"> has 37%.</w:t>
      </w:r>
    </w:p>
    <w:p w:rsidR="00BF032E" w:rsidRPr="009A78AA" w:rsidRDefault="00BF032E" w:rsidP="00BF032E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</w:t>
      </w:r>
      <w:r w:rsidR="00D10A47">
        <w:rPr>
          <w:rFonts w:cs="Arial"/>
        </w:rPr>
        <w:t xml:space="preserve">support categories </w:t>
      </w:r>
      <w:r w:rsidRPr="009A78AA">
        <w:rPr>
          <w:rFonts w:cs="Arial"/>
        </w:rPr>
        <w:t>are as follows.</w:t>
      </w:r>
    </w:p>
    <w:p w:rsidR="006704D5" w:rsidRPr="006704D5" w:rsidRDefault="006704D5" w:rsidP="006704D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Lifelong Learning has an outcomes indicator of </w:t>
      </w:r>
      <w:r w:rsidR="00426154">
        <w:rPr>
          <w:rFonts w:cs="Arial"/>
        </w:rPr>
        <w:t>0</w:t>
      </w:r>
      <w:r>
        <w:rPr>
          <w:rFonts w:cs="Arial"/>
        </w:rPr>
        <w:t>%.</w:t>
      </w:r>
    </w:p>
    <w:p w:rsidR="00282FD8" w:rsidRPr="00BF032E" w:rsidRDefault="00282FD8" w:rsidP="00282FD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</w:t>
      </w:r>
      <w:r w:rsidR="00426154">
        <w:rPr>
          <w:rFonts w:cs="Arial"/>
        </w:rPr>
        <w:t xml:space="preserve">y Building – Relationships has </w:t>
      </w:r>
      <w:r>
        <w:rPr>
          <w:rFonts w:cs="Arial"/>
        </w:rPr>
        <w:t>9%.</w:t>
      </w:r>
    </w:p>
    <w:p w:rsidR="00BF032E" w:rsidRDefault="00BF032E" w:rsidP="00B94DA7">
      <w:pPr>
        <w:rPr>
          <w:rFonts w:cs="Arial"/>
        </w:rPr>
      </w:pPr>
    </w:p>
    <w:p w:rsidR="00B94DA7" w:rsidRPr="00B94DA7" w:rsidRDefault="00B94DA7" w:rsidP="00B94DA7">
      <w:pPr>
        <w:rPr>
          <w:rFonts w:cs="Arial"/>
        </w:rPr>
      </w:pPr>
      <w:r w:rsidRPr="00B94DA7">
        <w:rPr>
          <w:rFonts w:cs="Arial"/>
        </w:rPr>
        <w:t xml:space="preserve">For </w:t>
      </w:r>
      <w:r w:rsidRPr="00B94DA7">
        <w:rPr>
          <w:rFonts w:cs="Arial"/>
          <w:b/>
        </w:rPr>
        <w:t>“Has NDIS helped with choice and control?” indicator</w:t>
      </w:r>
      <w:r>
        <w:rPr>
          <w:rFonts w:cs="Arial"/>
        </w:rPr>
        <w:t xml:space="preserve">, </w:t>
      </w:r>
      <w:r w:rsidR="009A78AA">
        <w:rPr>
          <w:rFonts w:cs="Arial"/>
        </w:rPr>
        <w:t xml:space="preserve">the top 10% </w:t>
      </w:r>
      <w:r w:rsidR="00D10A47">
        <w:rPr>
          <w:rFonts w:cs="Arial"/>
        </w:rPr>
        <w:t xml:space="preserve">support categories </w:t>
      </w:r>
      <w:r w:rsidR="009A78AA">
        <w:rPr>
          <w:rFonts w:cs="Arial"/>
        </w:rPr>
        <w:t>are as follows.</w:t>
      </w:r>
    </w:p>
    <w:p w:rsidR="006704D5" w:rsidRPr="00BF032E" w:rsidRDefault="006704D5" w:rsidP="006704D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</w:t>
      </w:r>
      <w:r w:rsidR="008072D4">
        <w:rPr>
          <w:rFonts w:cs="Arial"/>
        </w:rPr>
        <w:t>Lifelong Learning</w:t>
      </w:r>
      <w:r>
        <w:rPr>
          <w:rFonts w:cs="Arial"/>
        </w:rPr>
        <w:t xml:space="preserve"> has an indicator of </w:t>
      </w:r>
      <w:r w:rsidR="008072D4">
        <w:rPr>
          <w:rFonts w:cs="Arial"/>
        </w:rPr>
        <w:t>100</w:t>
      </w:r>
      <w:r>
        <w:rPr>
          <w:rFonts w:cs="Arial"/>
        </w:rPr>
        <w:t>%.</w:t>
      </w:r>
    </w:p>
    <w:p w:rsidR="00B94DA7" w:rsidRDefault="00282FD8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</w:t>
      </w:r>
      <w:r w:rsidR="00767F7F">
        <w:rPr>
          <w:rFonts w:cs="Arial"/>
        </w:rPr>
        <w:t xml:space="preserve">Home Living </w:t>
      </w:r>
      <w:r>
        <w:rPr>
          <w:rFonts w:cs="Arial"/>
        </w:rPr>
        <w:t>has</w:t>
      </w:r>
      <w:r w:rsidR="006704D5">
        <w:rPr>
          <w:rFonts w:cs="Arial"/>
        </w:rPr>
        <w:t xml:space="preserve"> </w:t>
      </w:r>
      <w:r w:rsidR="008072D4">
        <w:rPr>
          <w:rFonts w:cs="Arial"/>
        </w:rPr>
        <w:t>8</w:t>
      </w:r>
      <w:r>
        <w:rPr>
          <w:rFonts w:cs="Arial"/>
        </w:rPr>
        <w:t>3%.</w:t>
      </w:r>
    </w:p>
    <w:p w:rsidR="00BF032E" w:rsidRPr="009A78AA" w:rsidRDefault="00BF032E" w:rsidP="00BF032E">
      <w:pPr>
        <w:jc w:val="both"/>
        <w:rPr>
          <w:rFonts w:cs="Arial"/>
        </w:rPr>
      </w:pPr>
      <w:r>
        <w:rPr>
          <w:rFonts w:cs="Arial"/>
        </w:rPr>
        <w:t>T</w:t>
      </w:r>
      <w:r w:rsidRPr="009A78AA">
        <w:rPr>
          <w:rFonts w:cs="Arial"/>
        </w:rPr>
        <w:t xml:space="preserve">he </w:t>
      </w:r>
      <w:r>
        <w:rPr>
          <w:rFonts w:cs="Arial"/>
        </w:rPr>
        <w:t>bottom</w:t>
      </w:r>
      <w:r w:rsidRPr="009A78AA">
        <w:rPr>
          <w:rFonts w:cs="Arial"/>
        </w:rPr>
        <w:t xml:space="preserve"> 10% </w:t>
      </w:r>
      <w:r w:rsidR="00D10A47">
        <w:rPr>
          <w:rFonts w:cs="Arial"/>
        </w:rPr>
        <w:t xml:space="preserve">support categories </w:t>
      </w:r>
      <w:r w:rsidRPr="009A78AA">
        <w:rPr>
          <w:rFonts w:cs="Arial"/>
        </w:rPr>
        <w:t>are as follows.</w:t>
      </w:r>
    </w:p>
    <w:p w:rsidR="00763823" w:rsidRDefault="00282FD8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</w:t>
      </w:r>
      <w:r w:rsidR="008072D4">
        <w:rPr>
          <w:rFonts w:cs="Arial"/>
        </w:rPr>
        <w:t>Choice and Control</w:t>
      </w:r>
      <w:r>
        <w:rPr>
          <w:rFonts w:cs="Arial"/>
        </w:rPr>
        <w:t xml:space="preserve"> has </w:t>
      </w:r>
      <w:r w:rsidR="006704D5">
        <w:rPr>
          <w:rFonts w:cs="Arial"/>
        </w:rPr>
        <w:t xml:space="preserve">an indicator of </w:t>
      </w:r>
      <w:r w:rsidR="008072D4">
        <w:rPr>
          <w:rFonts w:cs="Arial"/>
        </w:rPr>
        <w:t>6</w:t>
      </w:r>
      <w:r>
        <w:rPr>
          <w:rFonts w:cs="Arial"/>
        </w:rPr>
        <w:t>9%.</w:t>
      </w:r>
    </w:p>
    <w:p w:rsidR="00282FD8" w:rsidRPr="00BF032E" w:rsidRDefault="00282FD8" w:rsidP="00BF032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</w:t>
      </w:r>
      <w:r w:rsidR="008072D4">
        <w:rPr>
          <w:rFonts w:cs="Arial"/>
        </w:rPr>
        <w:t>Social and Civic</w:t>
      </w:r>
      <w:r>
        <w:rPr>
          <w:rFonts w:cs="Arial"/>
        </w:rPr>
        <w:t xml:space="preserve"> has </w:t>
      </w:r>
      <w:r w:rsidR="008072D4">
        <w:rPr>
          <w:rFonts w:cs="Arial"/>
        </w:rPr>
        <w:t>72</w:t>
      </w:r>
      <w:r>
        <w:rPr>
          <w:rFonts w:cs="Arial"/>
        </w:rPr>
        <w:t>%.</w:t>
      </w:r>
    </w:p>
    <w:p w:rsidR="00BF0755" w:rsidRDefault="00BF0755">
      <w:pPr>
        <w:rPr>
          <w:rFonts w:cs="Arial"/>
        </w:rPr>
      </w:pPr>
    </w:p>
    <w:p w:rsidR="00BF0755" w:rsidRPr="00205B30" w:rsidRDefault="00BF0755" w:rsidP="00B41A44">
      <w:pPr>
        <w:pStyle w:val="Heading2"/>
      </w:pPr>
      <w:bookmarkStart w:id="7" w:name="_Toc19104014"/>
      <w:r>
        <w:t>Page 2, Table 2: Definitions for the indicators</w:t>
      </w:r>
      <w:bookmarkEnd w:id="7"/>
    </w:p>
    <w:p w:rsidR="00BF0755" w:rsidRDefault="00BF0755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Active participants with approved plans</w:t>
      </w:r>
      <w:r>
        <w:rPr>
          <w:rFonts w:cs="Arial"/>
        </w:rPr>
        <w:t xml:space="preserve"> is defined as the number of</w:t>
      </w:r>
      <w:r w:rsidR="00763823">
        <w:rPr>
          <w:rFonts w:cs="Arial"/>
        </w:rPr>
        <w:t xml:space="preserve"> </w:t>
      </w:r>
      <w:r w:rsidR="00763823" w:rsidRPr="00763823">
        <w:rPr>
          <w:rFonts w:cs="Arial"/>
        </w:rPr>
        <w:t>active participants who have an approved plan and reside in the region / have supports relating to the support category in their plan</w:t>
      </w:r>
      <w:r w:rsidR="00763823">
        <w:rPr>
          <w:rFonts w:cs="Arial"/>
        </w:rPr>
        <w:t>.</w:t>
      </w:r>
    </w:p>
    <w:p w:rsidR="00763823" w:rsidRDefault="00763823" w:rsidP="00763823">
      <w:pPr>
        <w:pStyle w:val="ListParagraph"/>
        <w:rPr>
          <w:rFonts w:cs="Arial"/>
        </w:rPr>
      </w:pP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Registered active providers</w:t>
      </w:r>
      <w:r>
        <w:rPr>
          <w:rFonts w:cs="Arial"/>
        </w:rPr>
        <w:t xml:space="preserve"> is defined as the n</w:t>
      </w:r>
      <w:r w:rsidRPr="00763823">
        <w:rPr>
          <w:rFonts w:cs="Arial"/>
        </w:rPr>
        <w:t>umber of registered service providers that have provided a support to a participant within the region / support category, over the exposure period</w:t>
      </w:r>
      <w:r>
        <w:rPr>
          <w:rFonts w:cs="Arial"/>
        </w:rPr>
        <w:t>.</w:t>
      </w: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Participants per provider</w:t>
      </w:r>
      <w:r w:rsidRPr="00763823">
        <w:rPr>
          <w:rFonts w:cs="Arial"/>
        </w:rPr>
        <w:t xml:space="preserve"> </w:t>
      </w:r>
      <w:r>
        <w:rPr>
          <w:rFonts w:cs="Arial"/>
        </w:rPr>
        <w:t>is defined as the</w:t>
      </w:r>
      <w:r w:rsidRPr="00763823">
        <w:t xml:space="preserve"> </w:t>
      </w:r>
      <w:r>
        <w:t>r</w:t>
      </w:r>
      <w:r w:rsidRPr="00763823">
        <w:rPr>
          <w:rFonts w:cs="Arial"/>
        </w:rPr>
        <w:t>atio between the number of active participants and the number of registered service providers</w:t>
      </w:r>
      <w:r>
        <w:rPr>
          <w:rFonts w:cs="Arial"/>
        </w:rPr>
        <w:t>.</w:t>
      </w: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Provider concentration</w:t>
      </w:r>
      <w:r w:rsidRPr="00763823">
        <w:rPr>
          <w:rFonts w:cs="Arial"/>
        </w:rPr>
        <w:t xml:space="preserve"> </w:t>
      </w:r>
      <w:r>
        <w:rPr>
          <w:rFonts w:cs="Arial"/>
        </w:rPr>
        <w:t>is defined as the</w:t>
      </w:r>
      <w:r w:rsidRPr="00763823">
        <w:t xml:space="preserve"> </w:t>
      </w:r>
      <w:r>
        <w:t>p</w:t>
      </w:r>
      <w:r w:rsidRPr="00763823">
        <w:rPr>
          <w:rFonts w:cs="Arial"/>
        </w:rPr>
        <w:t>roportion of provider payments over the exposure period that were paid to the top 10 providers</w:t>
      </w:r>
      <w:r>
        <w:rPr>
          <w:rFonts w:cs="Arial"/>
        </w:rPr>
        <w:t>.</w:t>
      </w: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  <w:b/>
        </w:rPr>
        <w:t xml:space="preserve">Provider growth </w:t>
      </w:r>
      <w:r>
        <w:rPr>
          <w:rFonts w:cs="Arial"/>
        </w:rPr>
        <w:t>is defined as the p</w:t>
      </w:r>
      <w:r w:rsidRPr="00763823">
        <w:rPr>
          <w:rFonts w:cs="Arial"/>
        </w:rPr>
        <w:t xml:space="preserve">roportion of providers for which payments have grown by more than 100% compared to the previous exposure period. Only providers </w:t>
      </w:r>
      <w:r w:rsidRPr="00763823">
        <w:rPr>
          <w:rFonts w:cs="Arial"/>
        </w:rPr>
        <w:lastRenderedPageBreak/>
        <w:t>that received more than $10</w:t>
      </w:r>
      <w:r>
        <w:rPr>
          <w:rFonts w:cs="Arial"/>
        </w:rPr>
        <w:t>,000</w:t>
      </w:r>
      <w:r w:rsidRPr="00763823">
        <w:rPr>
          <w:rFonts w:cs="Arial"/>
        </w:rPr>
        <w:t xml:space="preserve"> in payments in both exposure periods have been considered</w:t>
      </w:r>
      <w:r>
        <w:rPr>
          <w:rFonts w:cs="Arial"/>
        </w:rPr>
        <w:t>.</w:t>
      </w: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  <w:b/>
        </w:rPr>
        <w:t xml:space="preserve">Provider shrinkage </w:t>
      </w:r>
      <w:r>
        <w:rPr>
          <w:rFonts w:cs="Arial"/>
        </w:rPr>
        <w:t>is defined as the p</w:t>
      </w:r>
      <w:r w:rsidRPr="00763823">
        <w:rPr>
          <w:rFonts w:cs="Arial"/>
        </w:rPr>
        <w:t>roportion of providers for which payments have shrunk by more than 25% compared to the previous exposure period. Only providers that received more than $10</w:t>
      </w:r>
      <w:r>
        <w:rPr>
          <w:rFonts w:cs="Arial"/>
        </w:rPr>
        <w:t>,000</w:t>
      </w:r>
      <w:r w:rsidRPr="00763823">
        <w:rPr>
          <w:rFonts w:cs="Arial"/>
        </w:rPr>
        <w:t xml:space="preserve"> in payments in both exposure periods have been considered</w:t>
      </w:r>
      <w:r>
        <w:rPr>
          <w:rFonts w:cs="Arial"/>
        </w:rPr>
        <w:t>.</w:t>
      </w:r>
    </w:p>
    <w:p w:rsidR="00763823" w:rsidRPr="00763823" w:rsidRDefault="00763823" w:rsidP="00763823">
      <w:pPr>
        <w:pStyle w:val="ListParagraph"/>
        <w:rPr>
          <w:rFonts w:cs="Arial"/>
        </w:rPr>
      </w:pP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Total plan budget</w:t>
      </w:r>
      <w:r w:rsidR="00C415CF">
        <w:rPr>
          <w:rFonts w:cs="Arial"/>
          <w:b/>
        </w:rPr>
        <w:t>s</w:t>
      </w:r>
      <w:r w:rsidRPr="00763823">
        <w:rPr>
          <w:rFonts w:cs="Arial"/>
          <w:b/>
        </w:rPr>
        <w:t xml:space="preserve"> </w:t>
      </w:r>
      <w:r>
        <w:rPr>
          <w:rFonts w:cs="Arial"/>
        </w:rPr>
        <w:t>is defined as the v</w:t>
      </w:r>
      <w:r w:rsidRPr="00763823">
        <w:rPr>
          <w:rFonts w:cs="Arial"/>
        </w:rPr>
        <w:t>alue of supports committed in participant plans for the exposure period</w:t>
      </w:r>
      <w:r>
        <w:rPr>
          <w:rFonts w:cs="Arial"/>
        </w:rPr>
        <w:t>.</w:t>
      </w: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Payments</w:t>
      </w:r>
      <w:r>
        <w:rPr>
          <w:rFonts w:cs="Arial"/>
        </w:rPr>
        <w:t xml:space="preserve"> is defined as the v</w:t>
      </w:r>
      <w:r w:rsidRPr="00763823">
        <w:rPr>
          <w:rFonts w:cs="Arial"/>
        </w:rPr>
        <w:t>alue of all payments over the exposure period, including payments to providers, payments to participants, and off-system payments (in-kind and Young</w:t>
      </w:r>
      <w:r>
        <w:rPr>
          <w:rFonts w:cs="Arial"/>
        </w:rPr>
        <w:t>er</w:t>
      </w:r>
      <w:r w:rsidRPr="00763823">
        <w:rPr>
          <w:rFonts w:cs="Arial"/>
        </w:rPr>
        <w:t xml:space="preserve"> People </w:t>
      </w:r>
      <w:proofErr w:type="gramStart"/>
      <w:r w:rsidRPr="00763823">
        <w:rPr>
          <w:rFonts w:cs="Arial"/>
        </w:rPr>
        <w:t>In</w:t>
      </w:r>
      <w:proofErr w:type="gramEnd"/>
      <w:r w:rsidRPr="00763823">
        <w:rPr>
          <w:rFonts w:cs="Arial"/>
        </w:rPr>
        <w:t xml:space="preserve"> Residential Aged Care</w:t>
      </w:r>
      <w:r>
        <w:rPr>
          <w:rFonts w:cs="Arial"/>
        </w:rPr>
        <w:t>).</w:t>
      </w: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Utilisation</w:t>
      </w:r>
      <w:r>
        <w:rPr>
          <w:rFonts w:cs="Arial"/>
        </w:rPr>
        <w:t xml:space="preserve"> is defined as the r</w:t>
      </w:r>
      <w:r w:rsidRPr="00763823">
        <w:rPr>
          <w:rFonts w:cs="Arial"/>
        </w:rPr>
        <w:t>atio between payments and total plan budgets</w:t>
      </w:r>
      <w:r>
        <w:rPr>
          <w:rFonts w:cs="Arial"/>
        </w:rPr>
        <w:t>.</w:t>
      </w:r>
    </w:p>
    <w:p w:rsidR="00763823" w:rsidRDefault="00763823" w:rsidP="00763823">
      <w:pPr>
        <w:pStyle w:val="ListParagraph"/>
        <w:rPr>
          <w:rFonts w:cs="Arial"/>
        </w:rPr>
      </w:pPr>
    </w:p>
    <w:p w:rsidR="00763823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Outcomes indicator on choice and control</w:t>
      </w:r>
      <w:r>
        <w:rPr>
          <w:rFonts w:cs="Arial"/>
        </w:rPr>
        <w:t xml:space="preserve"> is defined as the</w:t>
      </w:r>
      <w:r w:rsidRPr="00763823">
        <w:t xml:space="preserve"> </w:t>
      </w:r>
      <w:r>
        <w:t>p</w:t>
      </w:r>
      <w:r w:rsidRPr="00763823">
        <w:rPr>
          <w:rFonts w:cs="Arial"/>
        </w:rPr>
        <w:t>roportion of participants who reported in their most recent outcomes survey that they choose who supports them</w:t>
      </w:r>
      <w:r>
        <w:rPr>
          <w:rFonts w:cs="Arial"/>
        </w:rPr>
        <w:t>.</w:t>
      </w:r>
    </w:p>
    <w:p w:rsidR="00763823" w:rsidRPr="00763823" w:rsidRDefault="00763823" w:rsidP="00763823">
      <w:pPr>
        <w:pStyle w:val="ListParagraph"/>
        <w:rPr>
          <w:rFonts w:cs="Arial"/>
        </w:rPr>
      </w:pPr>
    </w:p>
    <w:p w:rsidR="00763823" w:rsidRPr="00BF0755" w:rsidRDefault="00763823" w:rsidP="00763823">
      <w:pPr>
        <w:pStyle w:val="ListParagraph"/>
        <w:numPr>
          <w:ilvl w:val="0"/>
          <w:numId w:val="1"/>
        </w:numPr>
        <w:rPr>
          <w:rFonts w:cs="Arial"/>
        </w:rPr>
      </w:pPr>
      <w:r w:rsidRPr="00763823">
        <w:rPr>
          <w:rFonts w:cs="Arial"/>
          <w:b/>
        </w:rPr>
        <w:t>“Has NDIS helped with choice and control?”</w:t>
      </w:r>
      <w:r>
        <w:rPr>
          <w:rFonts w:cs="Arial"/>
        </w:rPr>
        <w:t xml:space="preserve"> indicator is defined as the p</w:t>
      </w:r>
      <w:r w:rsidRPr="00763823">
        <w:rPr>
          <w:rFonts w:cs="Arial"/>
        </w:rPr>
        <w:t>roportion of participants who reported in their most recent outcomes survey that the NDIS has helped with choice and control</w:t>
      </w:r>
      <w:r>
        <w:rPr>
          <w:rFonts w:cs="Arial"/>
        </w:rPr>
        <w:t>.</w:t>
      </w:r>
    </w:p>
    <w:sectPr w:rsidR="00763823" w:rsidRPr="00BF0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01DF2"/>
    <w:rsid w:val="000026B2"/>
    <w:rsid w:val="000301E5"/>
    <w:rsid w:val="00076EDF"/>
    <w:rsid w:val="000812E3"/>
    <w:rsid w:val="00130BD1"/>
    <w:rsid w:val="0013152A"/>
    <w:rsid w:val="0015533B"/>
    <w:rsid w:val="00160B17"/>
    <w:rsid w:val="00166236"/>
    <w:rsid w:val="00182AC8"/>
    <w:rsid w:val="001A6C5E"/>
    <w:rsid w:val="001D20D4"/>
    <w:rsid w:val="00205322"/>
    <w:rsid w:val="00205B30"/>
    <w:rsid w:val="00215A03"/>
    <w:rsid w:val="00281F13"/>
    <w:rsid w:val="00282FD8"/>
    <w:rsid w:val="00330CEF"/>
    <w:rsid w:val="00360C1E"/>
    <w:rsid w:val="00376465"/>
    <w:rsid w:val="003853B1"/>
    <w:rsid w:val="003C1EE2"/>
    <w:rsid w:val="003C6D8E"/>
    <w:rsid w:val="003D7B16"/>
    <w:rsid w:val="003E090C"/>
    <w:rsid w:val="00416380"/>
    <w:rsid w:val="00426154"/>
    <w:rsid w:val="00451FF6"/>
    <w:rsid w:val="004827EA"/>
    <w:rsid w:val="004C6EE2"/>
    <w:rsid w:val="00504A6B"/>
    <w:rsid w:val="00560B99"/>
    <w:rsid w:val="005A0F26"/>
    <w:rsid w:val="005F2A18"/>
    <w:rsid w:val="00660C99"/>
    <w:rsid w:val="006704D5"/>
    <w:rsid w:val="00674AA7"/>
    <w:rsid w:val="006A7787"/>
    <w:rsid w:val="00763823"/>
    <w:rsid w:val="00767F7F"/>
    <w:rsid w:val="007F052D"/>
    <w:rsid w:val="008072D4"/>
    <w:rsid w:val="00862FC1"/>
    <w:rsid w:val="008675E1"/>
    <w:rsid w:val="008D4CA8"/>
    <w:rsid w:val="008E1CEE"/>
    <w:rsid w:val="00927D99"/>
    <w:rsid w:val="009300E8"/>
    <w:rsid w:val="009A78AA"/>
    <w:rsid w:val="009E6282"/>
    <w:rsid w:val="00A31EE8"/>
    <w:rsid w:val="00A42636"/>
    <w:rsid w:val="00A640AE"/>
    <w:rsid w:val="00A65372"/>
    <w:rsid w:val="00AA5E86"/>
    <w:rsid w:val="00AB2584"/>
    <w:rsid w:val="00AB38DA"/>
    <w:rsid w:val="00AD5C60"/>
    <w:rsid w:val="00AF6078"/>
    <w:rsid w:val="00B41A44"/>
    <w:rsid w:val="00B5078B"/>
    <w:rsid w:val="00B5645C"/>
    <w:rsid w:val="00B6363C"/>
    <w:rsid w:val="00B94DA7"/>
    <w:rsid w:val="00BA47DB"/>
    <w:rsid w:val="00BF032E"/>
    <w:rsid w:val="00BF0755"/>
    <w:rsid w:val="00C17FD9"/>
    <w:rsid w:val="00C375F7"/>
    <w:rsid w:val="00C415CF"/>
    <w:rsid w:val="00CA1F54"/>
    <w:rsid w:val="00CC117F"/>
    <w:rsid w:val="00CC53C4"/>
    <w:rsid w:val="00CD47E6"/>
    <w:rsid w:val="00D10A47"/>
    <w:rsid w:val="00D131FD"/>
    <w:rsid w:val="00D23E5E"/>
    <w:rsid w:val="00DB7D56"/>
    <w:rsid w:val="00E75D69"/>
    <w:rsid w:val="00EE28E1"/>
    <w:rsid w:val="00F1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8C6E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80546-AA89-4451-B80F-F5B1A87C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Duong, Stephanie</dc:creator>
  <cp:keywords/>
  <dc:description/>
  <cp:lastModifiedBy>Wright, Nicholas</cp:lastModifiedBy>
  <cp:revision>3</cp:revision>
  <dcterms:created xsi:type="dcterms:W3CDTF">2019-09-16T05:23:00Z</dcterms:created>
  <dcterms:modified xsi:type="dcterms:W3CDTF">2019-09-17T05:36:00Z</dcterms:modified>
</cp:coreProperties>
</file>