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2A8A" w14:textId="26E512FF" w:rsidR="00FF429B" w:rsidRPr="00FF429B" w:rsidRDefault="00D90A46" w:rsidP="00FF429B">
      <w:pPr>
        <w:pStyle w:val="Heading1"/>
      </w:pPr>
      <w:bookmarkStart w:id="0" w:name="_Toc529955892"/>
      <w:bookmarkStart w:id="1" w:name="_Toc9427979"/>
      <w:bookmarkStart w:id="2" w:name="_Toc14246958"/>
      <w:bookmarkStart w:id="3" w:name="_Toc14353914"/>
      <w:bookmarkStart w:id="4" w:name="_GoBack"/>
      <w:bookmarkEnd w:id="4"/>
      <w:r w:rsidRPr="009A3E4B">
        <w:t>Employment outcomes 2017-18 NDIS participants, their families and carers</w:t>
      </w:r>
      <w:bookmarkEnd w:id="2"/>
      <w:bookmarkEnd w:id="3"/>
    </w:p>
    <w:p w14:paraId="00BD3316" w14:textId="5E116C18" w:rsidR="00410810" w:rsidRDefault="000B1117" w:rsidP="00FF429B">
      <w:pPr>
        <w:pStyle w:val="Heading2"/>
      </w:pPr>
      <w:bookmarkStart w:id="5" w:name="_Toc14353915"/>
      <w:r>
        <w:t xml:space="preserve">Table of </w:t>
      </w:r>
      <w:r w:rsidR="00FF429B">
        <w:t>Contents</w:t>
      </w:r>
      <w:bookmarkEnd w:id="5"/>
    </w:p>
    <w:p w14:paraId="6CE2605C" w14:textId="2F2AA806" w:rsidR="00DA43CE" w:rsidRDefault="00410810">
      <w:pPr>
        <w:pStyle w:val="TOC1"/>
        <w:tabs>
          <w:tab w:val="right" w:leader="dot" w:pos="9016"/>
        </w:tabs>
        <w:rPr>
          <w:rFonts w:asciiTheme="minorHAnsi" w:eastAsiaTheme="minorEastAsia" w:hAnsiTheme="minorHAnsi"/>
          <w:noProof/>
          <w:lang w:eastAsia="en-AU"/>
        </w:rPr>
      </w:pPr>
      <w:r>
        <w:fldChar w:fldCharType="begin"/>
      </w:r>
      <w:r>
        <w:instrText xml:space="preserve"> TOC \o "1-2" \h \z \u </w:instrText>
      </w:r>
      <w:r>
        <w:fldChar w:fldCharType="separate"/>
      </w:r>
      <w:hyperlink w:anchor="_Toc14353914" w:history="1">
        <w:r w:rsidR="00DA43CE" w:rsidRPr="00ED59A3">
          <w:rPr>
            <w:rStyle w:val="Hyperlink"/>
            <w:noProof/>
          </w:rPr>
          <w:t>Employment outcomes 2017-18 NDIS participants, their families and carers</w:t>
        </w:r>
        <w:r w:rsidR="00DA43CE">
          <w:rPr>
            <w:noProof/>
            <w:webHidden/>
          </w:rPr>
          <w:tab/>
        </w:r>
        <w:r w:rsidR="00DA43CE">
          <w:rPr>
            <w:noProof/>
            <w:webHidden/>
          </w:rPr>
          <w:fldChar w:fldCharType="begin"/>
        </w:r>
        <w:r w:rsidR="00DA43CE">
          <w:rPr>
            <w:noProof/>
            <w:webHidden/>
          </w:rPr>
          <w:instrText xml:space="preserve"> PAGEREF _Toc14353914 \h </w:instrText>
        </w:r>
        <w:r w:rsidR="00DA43CE">
          <w:rPr>
            <w:noProof/>
            <w:webHidden/>
          </w:rPr>
        </w:r>
        <w:r w:rsidR="00DA43CE">
          <w:rPr>
            <w:noProof/>
            <w:webHidden/>
          </w:rPr>
          <w:fldChar w:fldCharType="separate"/>
        </w:r>
        <w:r w:rsidR="00DA43CE">
          <w:rPr>
            <w:noProof/>
            <w:webHidden/>
          </w:rPr>
          <w:t>1</w:t>
        </w:r>
        <w:r w:rsidR="00DA43CE">
          <w:rPr>
            <w:noProof/>
            <w:webHidden/>
          </w:rPr>
          <w:fldChar w:fldCharType="end"/>
        </w:r>
      </w:hyperlink>
    </w:p>
    <w:p w14:paraId="439793BF" w14:textId="6F2C16EE" w:rsidR="00DA43CE" w:rsidRDefault="00DA43CE">
      <w:pPr>
        <w:pStyle w:val="TOC2"/>
        <w:tabs>
          <w:tab w:val="right" w:leader="dot" w:pos="9016"/>
        </w:tabs>
        <w:rPr>
          <w:rFonts w:asciiTheme="minorHAnsi" w:eastAsiaTheme="minorEastAsia" w:hAnsiTheme="minorHAnsi"/>
          <w:noProof/>
          <w:lang w:eastAsia="en-AU"/>
        </w:rPr>
      </w:pPr>
      <w:hyperlink w:anchor="_Toc14353915" w:history="1">
        <w:r w:rsidRPr="00ED59A3">
          <w:rPr>
            <w:rStyle w:val="Hyperlink"/>
            <w:noProof/>
          </w:rPr>
          <w:t>Table of Contents</w:t>
        </w:r>
        <w:r>
          <w:rPr>
            <w:noProof/>
            <w:webHidden/>
          </w:rPr>
          <w:tab/>
        </w:r>
        <w:r>
          <w:rPr>
            <w:noProof/>
            <w:webHidden/>
          </w:rPr>
          <w:fldChar w:fldCharType="begin"/>
        </w:r>
        <w:r>
          <w:rPr>
            <w:noProof/>
            <w:webHidden/>
          </w:rPr>
          <w:instrText xml:space="preserve"> PAGEREF _Toc14353915 \h </w:instrText>
        </w:r>
        <w:r>
          <w:rPr>
            <w:noProof/>
            <w:webHidden/>
          </w:rPr>
        </w:r>
        <w:r>
          <w:rPr>
            <w:noProof/>
            <w:webHidden/>
          </w:rPr>
          <w:fldChar w:fldCharType="separate"/>
        </w:r>
        <w:r>
          <w:rPr>
            <w:noProof/>
            <w:webHidden/>
          </w:rPr>
          <w:t>1</w:t>
        </w:r>
        <w:r>
          <w:rPr>
            <w:noProof/>
            <w:webHidden/>
          </w:rPr>
          <w:fldChar w:fldCharType="end"/>
        </w:r>
      </w:hyperlink>
    </w:p>
    <w:p w14:paraId="290BD6A3" w14:textId="268AFBFD" w:rsidR="00DA43CE" w:rsidRDefault="00DA43CE">
      <w:pPr>
        <w:pStyle w:val="TOC2"/>
        <w:tabs>
          <w:tab w:val="right" w:leader="dot" w:pos="9016"/>
        </w:tabs>
        <w:rPr>
          <w:rFonts w:asciiTheme="minorHAnsi" w:eastAsiaTheme="minorEastAsia" w:hAnsiTheme="minorHAnsi"/>
          <w:noProof/>
          <w:lang w:eastAsia="en-AU"/>
        </w:rPr>
      </w:pPr>
      <w:hyperlink w:anchor="_Toc14353916" w:history="1">
        <w:r w:rsidRPr="00ED59A3">
          <w:rPr>
            <w:rStyle w:val="Hyperlink"/>
            <w:noProof/>
          </w:rPr>
          <w:t>Slide 1: Employment outcomes 2017-18 NDIS participants, their families and carers</w:t>
        </w:r>
        <w:r>
          <w:rPr>
            <w:noProof/>
            <w:webHidden/>
          </w:rPr>
          <w:tab/>
        </w:r>
        <w:r>
          <w:rPr>
            <w:noProof/>
            <w:webHidden/>
          </w:rPr>
          <w:fldChar w:fldCharType="begin"/>
        </w:r>
        <w:r>
          <w:rPr>
            <w:noProof/>
            <w:webHidden/>
          </w:rPr>
          <w:instrText xml:space="preserve"> PAGEREF _Toc14353916 \h </w:instrText>
        </w:r>
        <w:r>
          <w:rPr>
            <w:noProof/>
            <w:webHidden/>
          </w:rPr>
        </w:r>
        <w:r>
          <w:rPr>
            <w:noProof/>
            <w:webHidden/>
          </w:rPr>
          <w:fldChar w:fldCharType="separate"/>
        </w:r>
        <w:r>
          <w:rPr>
            <w:noProof/>
            <w:webHidden/>
          </w:rPr>
          <w:t>4</w:t>
        </w:r>
        <w:r>
          <w:rPr>
            <w:noProof/>
            <w:webHidden/>
          </w:rPr>
          <w:fldChar w:fldCharType="end"/>
        </w:r>
      </w:hyperlink>
    </w:p>
    <w:p w14:paraId="4635F34C" w14:textId="3EFB4637" w:rsidR="00DA43CE" w:rsidRDefault="00DA43CE">
      <w:pPr>
        <w:pStyle w:val="TOC2"/>
        <w:tabs>
          <w:tab w:val="right" w:leader="dot" w:pos="9016"/>
        </w:tabs>
        <w:rPr>
          <w:rFonts w:asciiTheme="minorHAnsi" w:eastAsiaTheme="minorEastAsia" w:hAnsiTheme="minorHAnsi"/>
          <w:noProof/>
          <w:lang w:eastAsia="en-AU"/>
        </w:rPr>
      </w:pPr>
      <w:hyperlink w:anchor="_Toc14353917" w:history="1">
        <w:r w:rsidRPr="00ED59A3">
          <w:rPr>
            <w:rStyle w:val="Hyperlink"/>
            <w:noProof/>
          </w:rPr>
          <w:t>Slide 2: Employment outcomes for NDIS participants</w:t>
        </w:r>
        <w:r>
          <w:rPr>
            <w:noProof/>
            <w:webHidden/>
          </w:rPr>
          <w:tab/>
        </w:r>
        <w:r>
          <w:rPr>
            <w:noProof/>
            <w:webHidden/>
          </w:rPr>
          <w:fldChar w:fldCharType="begin"/>
        </w:r>
        <w:r>
          <w:rPr>
            <w:noProof/>
            <w:webHidden/>
          </w:rPr>
          <w:instrText xml:space="preserve"> PAGEREF _Toc14353917 \h </w:instrText>
        </w:r>
        <w:r>
          <w:rPr>
            <w:noProof/>
            <w:webHidden/>
          </w:rPr>
        </w:r>
        <w:r>
          <w:rPr>
            <w:noProof/>
            <w:webHidden/>
          </w:rPr>
          <w:fldChar w:fldCharType="separate"/>
        </w:r>
        <w:r>
          <w:rPr>
            <w:noProof/>
            <w:webHidden/>
          </w:rPr>
          <w:t>4</w:t>
        </w:r>
        <w:r>
          <w:rPr>
            <w:noProof/>
            <w:webHidden/>
          </w:rPr>
          <w:fldChar w:fldCharType="end"/>
        </w:r>
      </w:hyperlink>
    </w:p>
    <w:p w14:paraId="1EC37A69" w14:textId="3727AEEE" w:rsidR="00DA43CE" w:rsidRDefault="00DA43CE">
      <w:pPr>
        <w:pStyle w:val="TOC2"/>
        <w:tabs>
          <w:tab w:val="right" w:leader="dot" w:pos="9016"/>
        </w:tabs>
        <w:rPr>
          <w:rFonts w:asciiTheme="minorHAnsi" w:eastAsiaTheme="minorEastAsia" w:hAnsiTheme="minorHAnsi"/>
          <w:noProof/>
          <w:lang w:eastAsia="en-AU"/>
        </w:rPr>
      </w:pPr>
      <w:hyperlink w:anchor="_Toc14353918" w:history="1">
        <w:r w:rsidRPr="00ED59A3">
          <w:rPr>
            <w:rStyle w:val="Hyperlink"/>
            <w:noProof/>
          </w:rPr>
          <w:t>Slide 3: Outline</w:t>
        </w:r>
        <w:r>
          <w:rPr>
            <w:noProof/>
            <w:webHidden/>
          </w:rPr>
          <w:tab/>
        </w:r>
        <w:r>
          <w:rPr>
            <w:noProof/>
            <w:webHidden/>
          </w:rPr>
          <w:fldChar w:fldCharType="begin"/>
        </w:r>
        <w:r>
          <w:rPr>
            <w:noProof/>
            <w:webHidden/>
          </w:rPr>
          <w:instrText xml:space="preserve"> PAGEREF _Toc14353918 \h </w:instrText>
        </w:r>
        <w:r>
          <w:rPr>
            <w:noProof/>
            <w:webHidden/>
          </w:rPr>
        </w:r>
        <w:r>
          <w:rPr>
            <w:noProof/>
            <w:webHidden/>
          </w:rPr>
          <w:fldChar w:fldCharType="separate"/>
        </w:r>
        <w:r>
          <w:rPr>
            <w:noProof/>
            <w:webHidden/>
          </w:rPr>
          <w:t>4</w:t>
        </w:r>
        <w:r>
          <w:rPr>
            <w:noProof/>
            <w:webHidden/>
          </w:rPr>
          <w:fldChar w:fldCharType="end"/>
        </w:r>
      </w:hyperlink>
    </w:p>
    <w:p w14:paraId="4C3BD2C7" w14:textId="72E2349C" w:rsidR="00DA43CE" w:rsidRDefault="00DA43CE">
      <w:pPr>
        <w:pStyle w:val="TOC2"/>
        <w:tabs>
          <w:tab w:val="right" w:leader="dot" w:pos="9016"/>
        </w:tabs>
        <w:rPr>
          <w:rFonts w:asciiTheme="minorHAnsi" w:eastAsiaTheme="minorEastAsia" w:hAnsiTheme="minorHAnsi"/>
          <w:noProof/>
          <w:lang w:eastAsia="en-AU"/>
        </w:rPr>
      </w:pPr>
      <w:hyperlink w:anchor="_Toc14353919" w:history="1">
        <w:r w:rsidRPr="00ED59A3">
          <w:rPr>
            <w:rStyle w:val="Hyperlink"/>
            <w:noProof/>
          </w:rPr>
          <w:t>Slide 4: Employment experience of Australians with disability</w:t>
        </w:r>
        <w:r>
          <w:rPr>
            <w:noProof/>
            <w:webHidden/>
          </w:rPr>
          <w:tab/>
        </w:r>
        <w:r>
          <w:rPr>
            <w:noProof/>
            <w:webHidden/>
          </w:rPr>
          <w:fldChar w:fldCharType="begin"/>
        </w:r>
        <w:r>
          <w:rPr>
            <w:noProof/>
            <w:webHidden/>
          </w:rPr>
          <w:instrText xml:space="preserve"> PAGEREF _Toc14353919 \h </w:instrText>
        </w:r>
        <w:r>
          <w:rPr>
            <w:noProof/>
            <w:webHidden/>
          </w:rPr>
        </w:r>
        <w:r>
          <w:rPr>
            <w:noProof/>
            <w:webHidden/>
          </w:rPr>
          <w:fldChar w:fldCharType="separate"/>
        </w:r>
        <w:r>
          <w:rPr>
            <w:noProof/>
            <w:webHidden/>
          </w:rPr>
          <w:t>4</w:t>
        </w:r>
        <w:r>
          <w:rPr>
            <w:noProof/>
            <w:webHidden/>
          </w:rPr>
          <w:fldChar w:fldCharType="end"/>
        </w:r>
      </w:hyperlink>
    </w:p>
    <w:p w14:paraId="2E1204D2" w14:textId="4B27A22F" w:rsidR="00DA43CE" w:rsidRDefault="00DA43CE">
      <w:pPr>
        <w:pStyle w:val="TOC2"/>
        <w:tabs>
          <w:tab w:val="right" w:leader="dot" w:pos="9016"/>
        </w:tabs>
        <w:rPr>
          <w:rFonts w:asciiTheme="minorHAnsi" w:eastAsiaTheme="minorEastAsia" w:hAnsiTheme="minorHAnsi"/>
          <w:noProof/>
          <w:lang w:eastAsia="en-AU"/>
        </w:rPr>
      </w:pPr>
      <w:hyperlink w:anchor="_Toc14353920" w:history="1">
        <w:r w:rsidRPr="00ED59A3">
          <w:rPr>
            <w:rStyle w:val="Hyperlink"/>
            <w:noProof/>
          </w:rPr>
          <w:t>Slide 5: Economic benefits of increased employment for Australians with disability</w:t>
        </w:r>
        <w:r>
          <w:rPr>
            <w:noProof/>
            <w:webHidden/>
          </w:rPr>
          <w:tab/>
        </w:r>
        <w:r>
          <w:rPr>
            <w:noProof/>
            <w:webHidden/>
          </w:rPr>
          <w:fldChar w:fldCharType="begin"/>
        </w:r>
        <w:r>
          <w:rPr>
            <w:noProof/>
            <w:webHidden/>
          </w:rPr>
          <w:instrText xml:space="preserve"> PAGEREF _Toc14353920 \h </w:instrText>
        </w:r>
        <w:r>
          <w:rPr>
            <w:noProof/>
            <w:webHidden/>
          </w:rPr>
        </w:r>
        <w:r>
          <w:rPr>
            <w:noProof/>
            <w:webHidden/>
          </w:rPr>
          <w:fldChar w:fldCharType="separate"/>
        </w:r>
        <w:r>
          <w:rPr>
            <w:noProof/>
            <w:webHidden/>
          </w:rPr>
          <w:t>4</w:t>
        </w:r>
        <w:r>
          <w:rPr>
            <w:noProof/>
            <w:webHidden/>
          </w:rPr>
          <w:fldChar w:fldCharType="end"/>
        </w:r>
      </w:hyperlink>
    </w:p>
    <w:p w14:paraId="044FAEAE" w14:textId="4B90E50B" w:rsidR="00DA43CE" w:rsidRDefault="00DA43CE">
      <w:pPr>
        <w:pStyle w:val="TOC2"/>
        <w:tabs>
          <w:tab w:val="right" w:leader="dot" w:pos="9016"/>
        </w:tabs>
        <w:rPr>
          <w:rFonts w:asciiTheme="minorHAnsi" w:eastAsiaTheme="minorEastAsia" w:hAnsiTheme="minorHAnsi"/>
          <w:noProof/>
          <w:lang w:eastAsia="en-AU"/>
        </w:rPr>
      </w:pPr>
      <w:hyperlink w:anchor="_Toc14353921" w:history="1">
        <w:r w:rsidRPr="00ED59A3">
          <w:rPr>
            <w:rStyle w:val="Hyperlink"/>
            <w:noProof/>
          </w:rPr>
          <w:t>Slide 6: Employment experience of NDIS participants (Baseline)</w:t>
        </w:r>
        <w:r>
          <w:rPr>
            <w:noProof/>
            <w:webHidden/>
          </w:rPr>
          <w:tab/>
        </w:r>
        <w:r>
          <w:rPr>
            <w:noProof/>
            <w:webHidden/>
          </w:rPr>
          <w:fldChar w:fldCharType="begin"/>
        </w:r>
        <w:r>
          <w:rPr>
            <w:noProof/>
            <w:webHidden/>
          </w:rPr>
          <w:instrText xml:space="preserve"> PAGEREF _Toc14353921 \h </w:instrText>
        </w:r>
        <w:r>
          <w:rPr>
            <w:noProof/>
            <w:webHidden/>
          </w:rPr>
        </w:r>
        <w:r>
          <w:rPr>
            <w:noProof/>
            <w:webHidden/>
          </w:rPr>
          <w:fldChar w:fldCharType="separate"/>
        </w:r>
        <w:r>
          <w:rPr>
            <w:noProof/>
            <w:webHidden/>
          </w:rPr>
          <w:t>5</w:t>
        </w:r>
        <w:r>
          <w:rPr>
            <w:noProof/>
            <w:webHidden/>
          </w:rPr>
          <w:fldChar w:fldCharType="end"/>
        </w:r>
      </w:hyperlink>
    </w:p>
    <w:p w14:paraId="7FECFA23" w14:textId="076CF505" w:rsidR="00DA43CE" w:rsidRDefault="00DA43CE">
      <w:pPr>
        <w:pStyle w:val="TOC2"/>
        <w:tabs>
          <w:tab w:val="right" w:leader="dot" w:pos="9016"/>
        </w:tabs>
        <w:rPr>
          <w:rFonts w:asciiTheme="minorHAnsi" w:eastAsiaTheme="minorEastAsia" w:hAnsiTheme="minorHAnsi"/>
          <w:noProof/>
          <w:lang w:eastAsia="en-AU"/>
        </w:rPr>
      </w:pPr>
      <w:hyperlink w:anchor="_Toc14353922" w:history="1">
        <w:r w:rsidRPr="00ED59A3">
          <w:rPr>
            <w:rStyle w:val="Hyperlink"/>
            <w:noProof/>
          </w:rPr>
          <w:t>Slide 7: Percentage with a paid job at baseline - By age</w:t>
        </w:r>
        <w:r>
          <w:rPr>
            <w:noProof/>
            <w:webHidden/>
          </w:rPr>
          <w:tab/>
        </w:r>
        <w:r>
          <w:rPr>
            <w:noProof/>
            <w:webHidden/>
          </w:rPr>
          <w:fldChar w:fldCharType="begin"/>
        </w:r>
        <w:r>
          <w:rPr>
            <w:noProof/>
            <w:webHidden/>
          </w:rPr>
          <w:instrText xml:space="preserve"> PAGEREF _Toc14353922 \h </w:instrText>
        </w:r>
        <w:r>
          <w:rPr>
            <w:noProof/>
            <w:webHidden/>
          </w:rPr>
        </w:r>
        <w:r>
          <w:rPr>
            <w:noProof/>
            <w:webHidden/>
          </w:rPr>
          <w:fldChar w:fldCharType="separate"/>
        </w:r>
        <w:r>
          <w:rPr>
            <w:noProof/>
            <w:webHidden/>
          </w:rPr>
          <w:t>5</w:t>
        </w:r>
        <w:r>
          <w:rPr>
            <w:noProof/>
            <w:webHidden/>
          </w:rPr>
          <w:fldChar w:fldCharType="end"/>
        </w:r>
      </w:hyperlink>
    </w:p>
    <w:p w14:paraId="41450202" w14:textId="72135539" w:rsidR="00DA43CE" w:rsidRDefault="00DA43CE">
      <w:pPr>
        <w:pStyle w:val="TOC2"/>
        <w:tabs>
          <w:tab w:val="right" w:leader="dot" w:pos="9016"/>
        </w:tabs>
        <w:rPr>
          <w:rFonts w:asciiTheme="minorHAnsi" w:eastAsiaTheme="minorEastAsia" w:hAnsiTheme="minorHAnsi"/>
          <w:noProof/>
          <w:lang w:eastAsia="en-AU"/>
        </w:rPr>
      </w:pPr>
      <w:hyperlink w:anchor="_Toc14353923" w:history="1">
        <w:r w:rsidRPr="00ED59A3">
          <w:rPr>
            <w:rStyle w:val="Hyperlink"/>
            <w:noProof/>
          </w:rPr>
          <w:t>Slide 8: Percentage with a paid job at baseline, by disability - 15 to 24 year olds</w:t>
        </w:r>
        <w:r>
          <w:rPr>
            <w:noProof/>
            <w:webHidden/>
          </w:rPr>
          <w:tab/>
        </w:r>
        <w:r>
          <w:rPr>
            <w:noProof/>
            <w:webHidden/>
          </w:rPr>
          <w:fldChar w:fldCharType="begin"/>
        </w:r>
        <w:r>
          <w:rPr>
            <w:noProof/>
            <w:webHidden/>
          </w:rPr>
          <w:instrText xml:space="preserve"> PAGEREF _Toc14353923 \h </w:instrText>
        </w:r>
        <w:r>
          <w:rPr>
            <w:noProof/>
            <w:webHidden/>
          </w:rPr>
        </w:r>
        <w:r>
          <w:rPr>
            <w:noProof/>
            <w:webHidden/>
          </w:rPr>
          <w:fldChar w:fldCharType="separate"/>
        </w:r>
        <w:r>
          <w:rPr>
            <w:noProof/>
            <w:webHidden/>
          </w:rPr>
          <w:t>5</w:t>
        </w:r>
        <w:r>
          <w:rPr>
            <w:noProof/>
            <w:webHidden/>
          </w:rPr>
          <w:fldChar w:fldCharType="end"/>
        </w:r>
      </w:hyperlink>
    </w:p>
    <w:p w14:paraId="0F6AD2C8" w14:textId="532E5DB5" w:rsidR="00DA43CE" w:rsidRDefault="00DA43CE">
      <w:pPr>
        <w:pStyle w:val="TOC2"/>
        <w:tabs>
          <w:tab w:val="right" w:leader="dot" w:pos="9016"/>
        </w:tabs>
        <w:rPr>
          <w:rFonts w:asciiTheme="minorHAnsi" w:eastAsiaTheme="minorEastAsia" w:hAnsiTheme="minorHAnsi"/>
          <w:noProof/>
          <w:lang w:eastAsia="en-AU"/>
        </w:rPr>
      </w:pPr>
      <w:hyperlink w:anchor="_Toc14353924" w:history="1">
        <w:r w:rsidRPr="00ED59A3">
          <w:rPr>
            <w:rStyle w:val="Hyperlink"/>
            <w:noProof/>
          </w:rPr>
          <w:t>Slide 9: Percentage with a paid job at baseline, by disability - 25 and over</w:t>
        </w:r>
        <w:r>
          <w:rPr>
            <w:noProof/>
            <w:webHidden/>
          </w:rPr>
          <w:tab/>
        </w:r>
        <w:r>
          <w:rPr>
            <w:noProof/>
            <w:webHidden/>
          </w:rPr>
          <w:fldChar w:fldCharType="begin"/>
        </w:r>
        <w:r>
          <w:rPr>
            <w:noProof/>
            <w:webHidden/>
          </w:rPr>
          <w:instrText xml:space="preserve"> PAGEREF _Toc14353924 \h </w:instrText>
        </w:r>
        <w:r>
          <w:rPr>
            <w:noProof/>
            <w:webHidden/>
          </w:rPr>
        </w:r>
        <w:r>
          <w:rPr>
            <w:noProof/>
            <w:webHidden/>
          </w:rPr>
          <w:fldChar w:fldCharType="separate"/>
        </w:r>
        <w:r>
          <w:rPr>
            <w:noProof/>
            <w:webHidden/>
          </w:rPr>
          <w:t>5</w:t>
        </w:r>
        <w:r>
          <w:rPr>
            <w:noProof/>
            <w:webHidden/>
          </w:rPr>
          <w:fldChar w:fldCharType="end"/>
        </w:r>
      </w:hyperlink>
    </w:p>
    <w:p w14:paraId="10250426" w14:textId="732F65BB" w:rsidR="00DA43CE" w:rsidRDefault="00DA43CE">
      <w:pPr>
        <w:pStyle w:val="TOC2"/>
        <w:tabs>
          <w:tab w:val="right" w:leader="dot" w:pos="9016"/>
        </w:tabs>
        <w:rPr>
          <w:rFonts w:asciiTheme="minorHAnsi" w:eastAsiaTheme="minorEastAsia" w:hAnsiTheme="minorHAnsi"/>
          <w:noProof/>
          <w:lang w:eastAsia="en-AU"/>
        </w:rPr>
      </w:pPr>
      <w:hyperlink w:anchor="_Toc14353925" w:history="1">
        <w:r w:rsidRPr="00ED59A3">
          <w:rPr>
            <w:rStyle w:val="Hyperlink"/>
            <w:noProof/>
          </w:rPr>
          <w:t>Slide 10: Type of employment</w:t>
        </w:r>
        <w:r>
          <w:rPr>
            <w:noProof/>
            <w:webHidden/>
          </w:rPr>
          <w:tab/>
        </w:r>
        <w:r>
          <w:rPr>
            <w:noProof/>
            <w:webHidden/>
          </w:rPr>
          <w:fldChar w:fldCharType="begin"/>
        </w:r>
        <w:r>
          <w:rPr>
            <w:noProof/>
            <w:webHidden/>
          </w:rPr>
          <w:instrText xml:space="preserve"> PAGEREF _Toc14353925 \h </w:instrText>
        </w:r>
        <w:r>
          <w:rPr>
            <w:noProof/>
            <w:webHidden/>
          </w:rPr>
        </w:r>
        <w:r>
          <w:rPr>
            <w:noProof/>
            <w:webHidden/>
          </w:rPr>
          <w:fldChar w:fldCharType="separate"/>
        </w:r>
        <w:r>
          <w:rPr>
            <w:noProof/>
            <w:webHidden/>
          </w:rPr>
          <w:t>5</w:t>
        </w:r>
        <w:r>
          <w:rPr>
            <w:noProof/>
            <w:webHidden/>
          </w:rPr>
          <w:fldChar w:fldCharType="end"/>
        </w:r>
      </w:hyperlink>
    </w:p>
    <w:p w14:paraId="771CCFD6" w14:textId="64A43703" w:rsidR="00DA43CE" w:rsidRDefault="00DA43CE">
      <w:pPr>
        <w:pStyle w:val="TOC2"/>
        <w:tabs>
          <w:tab w:val="right" w:leader="dot" w:pos="9016"/>
        </w:tabs>
        <w:rPr>
          <w:rFonts w:asciiTheme="minorHAnsi" w:eastAsiaTheme="minorEastAsia" w:hAnsiTheme="minorHAnsi"/>
          <w:noProof/>
          <w:lang w:eastAsia="en-AU"/>
        </w:rPr>
      </w:pPr>
      <w:hyperlink w:anchor="_Toc14353926" w:history="1">
        <w:r w:rsidRPr="00ED59A3">
          <w:rPr>
            <w:rStyle w:val="Hyperlink"/>
            <w:noProof/>
          </w:rPr>
          <w:t>Slide 11: Type of employment - By age</w:t>
        </w:r>
        <w:r>
          <w:rPr>
            <w:noProof/>
            <w:webHidden/>
          </w:rPr>
          <w:tab/>
        </w:r>
        <w:r>
          <w:rPr>
            <w:noProof/>
            <w:webHidden/>
          </w:rPr>
          <w:fldChar w:fldCharType="begin"/>
        </w:r>
        <w:r>
          <w:rPr>
            <w:noProof/>
            <w:webHidden/>
          </w:rPr>
          <w:instrText xml:space="preserve"> PAGEREF _Toc14353926 \h </w:instrText>
        </w:r>
        <w:r>
          <w:rPr>
            <w:noProof/>
            <w:webHidden/>
          </w:rPr>
        </w:r>
        <w:r>
          <w:rPr>
            <w:noProof/>
            <w:webHidden/>
          </w:rPr>
          <w:fldChar w:fldCharType="separate"/>
        </w:r>
        <w:r>
          <w:rPr>
            <w:noProof/>
            <w:webHidden/>
          </w:rPr>
          <w:t>6</w:t>
        </w:r>
        <w:r>
          <w:rPr>
            <w:noProof/>
            <w:webHidden/>
          </w:rPr>
          <w:fldChar w:fldCharType="end"/>
        </w:r>
      </w:hyperlink>
    </w:p>
    <w:p w14:paraId="275E4120" w14:textId="704B4C9C" w:rsidR="00DA43CE" w:rsidRDefault="00DA43CE">
      <w:pPr>
        <w:pStyle w:val="TOC2"/>
        <w:tabs>
          <w:tab w:val="right" w:leader="dot" w:pos="9016"/>
        </w:tabs>
        <w:rPr>
          <w:rFonts w:asciiTheme="minorHAnsi" w:eastAsiaTheme="minorEastAsia" w:hAnsiTheme="minorHAnsi"/>
          <w:noProof/>
          <w:lang w:eastAsia="en-AU"/>
        </w:rPr>
      </w:pPr>
      <w:hyperlink w:anchor="_Toc14353927" w:history="1">
        <w:r w:rsidRPr="00ED59A3">
          <w:rPr>
            <w:rStyle w:val="Hyperlink"/>
            <w:noProof/>
          </w:rPr>
          <w:t>Slide 12: Type of employment - By disability, 15 to 24 year olds</w:t>
        </w:r>
        <w:r>
          <w:rPr>
            <w:noProof/>
            <w:webHidden/>
          </w:rPr>
          <w:tab/>
        </w:r>
        <w:r>
          <w:rPr>
            <w:noProof/>
            <w:webHidden/>
          </w:rPr>
          <w:fldChar w:fldCharType="begin"/>
        </w:r>
        <w:r>
          <w:rPr>
            <w:noProof/>
            <w:webHidden/>
          </w:rPr>
          <w:instrText xml:space="preserve"> PAGEREF _Toc14353927 \h </w:instrText>
        </w:r>
        <w:r>
          <w:rPr>
            <w:noProof/>
            <w:webHidden/>
          </w:rPr>
        </w:r>
        <w:r>
          <w:rPr>
            <w:noProof/>
            <w:webHidden/>
          </w:rPr>
          <w:fldChar w:fldCharType="separate"/>
        </w:r>
        <w:r>
          <w:rPr>
            <w:noProof/>
            <w:webHidden/>
          </w:rPr>
          <w:t>6</w:t>
        </w:r>
        <w:r>
          <w:rPr>
            <w:noProof/>
            <w:webHidden/>
          </w:rPr>
          <w:fldChar w:fldCharType="end"/>
        </w:r>
      </w:hyperlink>
    </w:p>
    <w:p w14:paraId="65F5302E" w14:textId="593E9AA7" w:rsidR="00DA43CE" w:rsidRDefault="00DA43CE">
      <w:pPr>
        <w:pStyle w:val="TOC2"/>
        <w:tabs>
          <w:tab w:val="right" w:leader="dot" w:pos="9016"/>
        </w:tabs>
        <w:rPr>
          <w:rFonts w:asciiTheme="minorHAnsi" w:eastAsiaTheme="minorEastAsia" w:hAnsiTheme="minorHAnsi"/>
          <w:noProof/>
          <w:lang w:eastAsia="en-AU"/>
        </w:rPr>
      </w:pPr>
      <w:hyperlink w:anchor="_Toc14353928" w:history="1">
        <w:r w:rsidRPr="00ED59A3">
          <w:rPr>
            <w:rStyle w:val="Hyperlink"/>
            <w:noProof/>
          </w:rPr>
          <w:t>Slide 13: Type of employment - By disability, 25 and over</w:t>
        </w:r>
        <w:r>
          <w:rPr>
            <w:noProof/>
            <w:webHidden/>
          </w:rPr>
          <w:tab/>
        </w:r>
        <w:r>
          <w:rPr>
            <w:noProof/>
            <w:webHidden/>
          </w:rPr>
          <w:fldChar w:fldCharType="begin"/>
        </w:r>
        <w:r>
          <w:rPr>
            <w:noProof/>
            <w:webHidden/>
          </w:rPr>
          <w:instrText xml:space="preserve"> PAGEREF _Toc14353928 \h </w:instrText>
        </w:r>
        <w:r>
          <w:rPr>
            <w:noProof/>
            <w:webHidden/>
          </w:rPr>
        </w:r>
        <w:r>
          <w:rPr>
            <w:noProof/>
            <w:webHidden/>
          </w:rPr>
          <w:fldChar w:fldCharType="separate"/>
        </w:r>
        <w:r>
          <w:rPr>
            <w:noProof/>
            <w:webHidden/>
          </w:rPr>
          <w:t>6</w:t>
        </w:r>
        <w:r>
          <w:rPr>
            <w:noProof/>
            <w:webHidden/>
          </w:rPr>
          <w:fldChar w:fldCharType="end"/>
        </w:r>
      </w:hyperlink>
    </w:p>
    <w:p w14:paraId="0A464076" w14:textId="142B814E" w:rsidR="00DA43CE" w:rsidRDefault="00DA43CE">
      <w:pPr>
        <w:pStyle w:val="TOC2"/>
        <w:tabs>
          <w:tab w:val="right" w:leader="dot" w:pos="9016"/>
        </w:tabs>
        <w:rPr>
          <w:rFonts w:asciiTheme="minorHAnsi" w:eastAsiaTheme="minorEastAsia" w:hAnsiTheme="minorHAnsi"/>
          <w:noProof/>
          <w:lang w:eastAsia="en-AU"/>
        </w:rPr>
      </w:pPr>
      <w:hyperlink w:anchor="_Toc14353929" w:history="1">
        <w:r w:rsidRPr="00ED59A3">
          <w:rPr>
            <w:rStyle w:val="Hyperlink"/>
            <w:noProof/>
          </w:rPr>
          <w:t>Slide 14: NDIS participants and the Disability Support Pension: Preliminary data linkage results</w:t>
        </w:r>
        <w:r>
          <w:rPr>
            <w:noProof/>
            <w:webHidden/>
          </w:rPr>
          <w:tab/>
        </w:r>
        <w:r>
          <w:rPr>
            <w:noProof/>
            <w:webHidden/>
          </w:rPr>
          <w:fldChar w:fldCharType="begin"/>
        </w:r>
        <w:r>
          <w:rPr>
            <w:noProof/>
            <w:webHidden/>
          </w:rPr>
          <w:instrText xml:space="preserve"> PAGEREF _Toc14353929 \h </w:instrText>
        </w:r>
        <w:r>
          <w:rPr>
            <w:noProof/>
            <w:webHidden/>
          </w:rPr>
        </w:r>
        <w:r>
          <w:rPr>
            <w:noProof/>
            <w:webHidden/>
          </w:rPr>
          <w:fldChar w:fldCharType="separate"/>
        </w:r>
        <w:r>
          <w:rPr>
            <w:noProof/>
            <w:webHidden/>
          </w:rPr>
          <w:t>6</w:t>
        </w:r>
        <w:r>
          <w:rPr>
            <w:noProof/>
            <w:webHidden/>
          </w:rPr>
          <w:fldChar w:fldCharType="end"/>
        </w:r>
      </w:hyperlink>
    </w:p>
    <w:p w14:paraId="4423A9FC" w14:textId="306997FD" w:rsidR="00DA43CE" w:rsidRDefault="00DA43CE">
      <w:pPr>
        <w:pStyle w:val="TOC2"/>
        <w:tabs>
          <w:tab w:val="right" w:leader="dot" w:pos="9016"/>
        </w:tabs>
        <w:rPr>
          <w:rFonts w:asciiTheme="minorHAnsi" w:eastAsiaTheme="minorEastAsia" w:hAnsiTheme="minorHAnsi"/>
          <w:noProof/>
          <w:lang w:eastAsia="en-AU"/>
        </w:rPr>
      </w:pPr>
      <w:hyperlink w:anchor="_Toc14353930" w:history="1">
        <w:r w:rsidRPr="00ED59A3">
          <w:rPr>
            <w:rStyle w:val="Hyperlink"/>
            <w:noProof/>
          </w:rPr>
          <w:t>Slide 15: Percentage of NDIS participants receiving the DSP as at July 2018 - By age</w:t>
        </w:r>
        <w:r>
          <w:rPr>
            <w:noProof/>
            <w:webHidden/>
          </w:rPr>
          <w:tab/>
        </w:r>
        <w:r>
          <w:rPr>
            <w:noProof/>
            <w:webHidden/>
          </w:rPr>
          <w:fldChar w:fldCharType="begin"/>
        </w:r>
        <w:r>
          <w:rPr>
            <w:noProof/>
            <w:webHidden/>
          </w:rPr>
          <w:instrText xml:space="preserve"> PAGEREF _Toc14353930 \h </w:instrText>
        </w:r>
        <w:r>
          <w:rPr>
            <w:noProof/>
            <w:webHidden/>
          </w:rPr>
        </w:r>
        <w:r>
          <w:rPr>
            <w:noProof/>
            <w:webHidden/>
          </w:rPr>
          <w:fldChar w:fldCharType="separate"/>
        </w:r>
        <w:r>
          <w:rPr>
            <w:noProof/>
            <w:webHidden/>
          </w:rPr>
          <w:t>7</w:t>
        </w:r>
        <w:r>
          <w:rPr>
            <w:noProof/>
            <w:webHidden/>
          </w:rPr>
          <w:fldChar w:fldCharType="end"/>
        </w:r>
      </w:hyperlink>
    </w:p>
    <w:p w14:paraId="273D0E74" w14:textId="51C4B7C7" w:rsidR="00DA43CE" w:rsidRDefault="00DA43CE">
      <w:pPr>
        <w:pStyle w:val="TOC2"/>
        <w:tabs>
          <w:tab w:val="right" w:leader="dot" w:pos="9016"/>
        </w:tabs>
        <w:rPr>
          <w:rFonts w:asciiTheme="minorHAnsi" w:eastAsiaTheme="minorEastAsia" w:hAnsiTheme="minorHAnsi"/>
          <w:noProof/>
          <w:lang w:eastAsia="en-AU"/>
        </w:rPr>
      </w:pPr>
      <w:hyperlink w:anchor="_Toc14353931" w:history="1">
        <w:r w:rsidRPr="00ED59A3">
          <w:rPr>
            <w:rStyle w:val="Hyperlink"/>
            <w:noProof/>
          </w:rPr>
          <w:t>Slide 16: Percentage of NDIS participants receiving the DSP as at July 2018 - By disability</w:t>
        </w:r>
        <w:r>
          <w:rPr>
            <w:noProof/>
            <w:webHidden/>
          </w:rPr>
          <w:tab/>
        </w:r>
        <w:r>
          <w:rPr>
            <w:noProof/>
            <w:webHidden/>
          </w:rPr>
          <w:fldChar w:fldCharType="begin"/>
        </w:r>
        <w:r>
          <w:rPr>
            <w:noProof/>
            <w:webHidden/>
          </w:rPr>
          <w:instrText xml:space="preserve"> PAGEREF _Toc14353931 \h </w:instrText>
        </w:r>
        <w:r>
          <w:rPr>
            <w:noProof/>
            <w:webHidden/>
          </w:rPr>
        </w:r>
        <w:r>
          <w:rPr>
            <w:noProof/>
            <w:webHidden/>
          </w:rPr>
          <w:fldChar w:fldCharType="separate"/>
        </w:r>
        <w:r>
          <w:rPr>
            <w:noProof/>
            <w:webHidden/>
          </w:rPr>
          <w:t>7</w:t>
        </w:r>
        <w:r>
          <w:rPr>
            <w:noProof/>
            <w:webHidden/>
          </w:rPr>
          <w:fldChar w:fldCharType="end"/>
        </w:r>
      </w:hyperlink>
    </w:p>
    <w:p w14:paraId="6C602CD0" w14:textId="4082AE09" w:rsidR="00DA43CE" w:rsidRDefault="00DA43CE">
      <w:pPr>
        <w:pStyle w:val="TOC2"/>
        <w:tabs>
          <w:tab w:val="right" w:leader="dot" w:pos="9016"/>
        </w:tabs>
        <w:rPr>
          <w:rFonts w:asciiTheme="minorHAnsi" w:eastAsiaTheme="minorEastAsia" w:hAnsiTheme="minorHAnsi"/>
          <w:noProof/>
          <w:lang w:eastAsia="en-AU"/>
        </w:rPr>
      </w:pPr>
      <w:hyperlink w:anchor="_Toc14353932" w:history="1">
        <w:r w:rsidRPr="00ED59A3">
          <w:rPr>
            <w:rStyle w:val="Hyperlink"/>
            <w:noProof/>
          </w:rPr>
          <w:t>Slide 17: Percentage of DSP recipients with an approved NDIS plan as at July 2018 - By age</w:t>
        </w:r>
        <w:r>
          <w:rPr>
            <w:noProof/>
            <w:webHidden/>
          </w:rPr>
          <w:tab/>
        </w:r>
        <w:r>
          <w:rPr>
            <w:noProof/>
            <w:webHidden/>
          </w:rPr>
          <w:fldChar w:fldCharType="begin"/>
        </w:r>
        <w:r>
          <w:rPr>
            <w:noProof/>
            <w:webHidden/>
          </w:rPr>
          <w:instrText xml:space="preserve"> PAGEREF _Toc14353932 \h </w:instrText>
        </w:r>
        <w:r>
          <w:rPr>
            <w:noProof/>
            <w:webHidden/>
          </w:rPr>
        </w:r>
        <w:r>
          <w:rPr>
            <w:noProof/>
            <w:webHidden/>
          </w:rPr>
          <w:fldChar w:fldCharType="separate"/>
        </w:r>
        <w:r>
          <w:rPr>
            <w:noProof/>
            <w:webHidden/>
          </w:rPr>
          <w:t>7</w:t>
        </w:r>
        <w:r>
          <w:rPr>
            <w:noProof/>
            <w:webHidden/>
          </w:rPr>
          <w:fldChar w:fldCharType="end"/>
        </w:r>
      </w:hyperlink>
    </w:p>
    <w:p w14:paraId="40A41C00" w14:textId="4D448F68" w:rsidR="00DA43CE" w:rsidRDefault="00DA43CE">
      <w:pPr>
        <w:pStyle w:val="TOC2"/>
        <w:tabs>
          <w:tab w:val="right" w:leader="dot" w:pos="9016"/>
        </w:tabs>
        <w:rPr>
          <w:rFonts w:asciiTheme="minorHAnsi" w:eastAsiaTheme="minorEastAsia" w:hAnsiTheme="minorHAnsi"/>
          <w:noProof/>
          <w:lang w:eastAsia="en-AU"/>
        </w:rPr>
      </w:pPr>
      <w:hyperlink w:anchor="_Toc14353933" w:history="1">
        <w:r w:rsidRPr="00ED59A3">
          <w:rPr>
            <w:rStyle w:val="Hyperlink"/>
            <w:noProof/>
          </w:rPr>
          <w:t>Slide 18: Employment goals in participant plans</w:t>
        </w:r>
        <w:r>
          <w:rPr>
            <w:noProof/>
            <w:webHidden/>
          </w:rPr>
          <w:tab/>
        </w:r>
        <w:r>
          <w:rPr>
            <w:noProof/>
            <w:webHidden/>
          </w:rPr>
          <w:fldChar w:fldCharType="begin"/>
        </w:r>
        <w:r>
          <w:rPr>
            <w:noProof/>
            <w:webHidden/>
          </w:rPr>
          <w:instrText xml:space="preserve"> PAGEREF _Toc14353933 \h </w:instrText>
        </w:r>
        <w:r>
          <w:rPr>
            <w:noProof/>
            <w:webHidden/>
          </w:rPr>
        </w:r>
        <w:r>
          <w:rPr>
            <w:noProof/>
            <w:webHidden/>
          </w:rPr>
          <w:fldChar w:fldCharType="separate"/>
        </w:r>
        <w:r>
          <w:rPr>
            <w:noProof/>
            <w:webHidden/>
          </w:rPr>
          <w:t>7</w:t>
        </w:r>
        <w:r>
          <w:rPr>
            <w:noProof/>
            <w:webHidden/>
          </w:rPr>
          <w:fldChar w:fldCharType="end"/>
        </w:r>
      </w:hyperlink>
    </w:p>
    <w:p w14:paraId="72D31054" w14:textId="0155A7DB" w:rsidR="00DA43CE" w:rsidRDefault="00DA43CE">
      <w:pPr>
        <w:pStyle w:val="TOC2"/>
        <w:tabs>
          <w:tab w:val="right" w:leader="dot" w:pos="9016"/>
        </w:tabs>
        <w:rPr>
          <w:rFonts w:asciiTheme="minorHAnsi" w:eastAsiaTheme="minorEastAsia" w:hAnsiTheme="minorHAnsi"/>
          <w:noProof/>
          <w:lang w:eastAsia="en-AU"/>
        </w:rPr>
      </w:pPr>
      <w:hyperlink w:anchor="_Toc14353934" w:history="1">
        <w:r w:rsidRPr="00ED59A3">
          <w:rPr>
            <w:rStyle w:val="Hyperlink"/>
            <w:noProof/>
          </w:rPr>
          <w:t>Slide 19: Percentage of plans with a work goal by response to SF question: “Are you currently working in a paid job?”</w:t>
        </w:r>
        <w:r>
          <w:rPr>
            <w:noProof/>
            <w:webHidden/>
          </w:rPr>
          <w:tab/>
        </w:r>
        <w:r>
          <w:rPr>
            <w:noProof/>
            <w:webHidden/>
          </w:rPr>
          <w:fldChar w:fldCharType="begin"/>
        </w:r>
        <w:r>
          <w:rPr>
            <w:noProof/>
            <w:webHidden/>
          </w:rPr>
          <w:instrText xml:space="preserve"> PAGEREF _Toc14353934 \h </w:instrText>
        </w:r>
        <w:r>
          <w:rPr>
            <w:noProof/>
            <w:webHidden/>
          </w:rPr>
        </w:r>
        <w:r>
          <w:rPr>
            <w:noProof/>
            <w:webHidden/>
          </w:rPr>
          <w:fldChar w:fldCharType="separate"/>
        </w:r>
        <w:r>
          <w:rPr>
            <w:noProof/>
            <w:webHidden/>
          </w:rPr>
          <w:t>7</w:t>
        </w:r>
        <w:r>
          <w:rPr>
            <w:noProof/>
            <w:webHidden/>
          </w:rPr>
          <w:fldChar w:fldCharType="end"/>
        </w:r>
      </w:hyperlink>
    </w:p>
    <w:p w14:paraId="262648AC" w14:textId="133614D5" w:rsidR="00DA43CE" w:rsidRDefault="00DA43CE">
      <w:pPr>
        <w:pStyle w:val="TOC2"/>
        <w:tabs>
          <w:tab w:val="right" w:leader="dot" w:pos="9016"/>
        </w:tabs>
        <w:rPr>
          <w:rFonts w:asciiTheme="minorHAnsi" w:eastAsiaTheme="minorEastAsia" w:hAnsiTheme="minorHAnsi"/>
          <w:noProof/>
          <w:lang w:eastAsia="en-AU"/>
        </w:rPr>
      </w:pPr>
      <w:hyperlink w:anchor="_Toc14353935" w:history="1">
        <w:r w:rsidRPr="00ED59A3">
          <w:rPr>
            <w:rStyle w:val="Hyperlink"/>
            <w:noProof/>
          </w:rPr>
          <w:t>Slide 20: Percentage of plans with a work goal by age, overall and for those who don’t have a job but would like one</w:t>
        </w:r>
        <w:r>
          <w:rPr>
            <w:noProof/>
            <w:webHidden/>
          </w:rPr>
          <w:tab/>
        </w:r>
        <w:r>
          <w:rPr>
            <w:noProof/>
            <w:webHidden/>
          </w:rPr>
          <w:fldChar w:fldCharType="begin"/>
        </w:r>
        <w:r>
          <w:rPr>
            <w:noProof/>
            <w:webHidden/>
          </w:rPr>
          <w:instrText xml:space="preserve"> PAGEREF _Toc14353935 \h </w:instrText>
        </w:r>
        <w:r>
          <w:rPr>
            <w:noProof/>
            <w:webHidden/>
          </w:rPr>
        </w:r>
        <w:r>
          <w:rPr>
            <w:noProof/>
            <w:webHidden/>
          </w:rPr>
          <w:fldChar w:fldCharType="separate"/>
        </w:r>
        <w:r>
          <w:rPr>
            <w:noProof/>
            <w:webHidden/>
          </w:rPr>
          <w:t>8</w:t>
        </w:r>
        <w:r>
          <w:rPr>
            <w:noProof/>
            <w:webHidden/>
          </w:rPr>
          <w:fldChar w:fldCharType="end"/>
        </w:r>
      </w:hyperlink>
    </w:p>
    <w:p w14:paraId="25BEC687" w14:textId="1EBE1B60" w:rsidR="00DA43CE" w:rsidRDefault="00DA43CE">
      <w:pPr>
        <w:pStyle w:val="TOC2"/>
        <w:tabs>
          <w:tab w:val="right" w:leader="dot" w:pos="9016"/>
        </w:tabs>
        <w:rPr>
          <w:rFonts w:asciiTheme="minorHAnsi" w:eastAsiaTheme="minorEastAsia" w:hAnsiTheme="minorHAnsi"/>
          <w:noProof/>
          <w:lang w:eastAsia="en-AU"/>
        </w:rPr>
      </w:pPr>
      <w:hyperlink w:anchor="_Toc14353936" w:history="1">
        <w:r w:rsidRPr="00ED59A3">
          <w:rPr>
            <w:rStyle w:val="Hyperlink"/>
            <w:noProof/>
          </w:rPr>
          <w:t>Slide 21: Percentage of plans with a work goal by disability, for those who don’t have a job but would like one</w:t>
        </w:r>
        <w:r>
          <w:rPr>
            <w:noProof/>
            <w:webHidden/>
          </w:rPr>
          <w:tab/>
        </w:r>
        <w:r>
          <w:rPr>
            <w:noProof/>
            <w:webHidden/>
          </w:rPr>
          <w:fldChar w:fldCharType="begin"/>
        </w:r>
        <w:r>
          <w:rPr>
            <w:noProof/>
            <w:webHidden/>
          </w:rPr>
          <w:instrText xml:space="preserve"> PAGEREF _Toc14353936 \h </w:instrText>
        </w:r>
        <w:r>
          <w:rPr>
            <w:noProof/>
            <w:webHidden/>
          </w:rPr>
        </w:r>
        <w:r>
          <w:rPr>
            <w:noProof/>
            <w:webHidden/>
          </w:rPr>
          <w:fldChar w:fldCharType="separate"/>
        </w:r>
        <w:r>
          <w:rPr>
            <w:noProof/>
            <w:webHidden/>
          </w:rPr>
          <w:t>8</w:t>
        </w:r>
        <w:r>
          <w:rPr>
            <w:noProof/>
            <w:webHidden/>
          </w:rPr>
          <w:fldChar w:fldCharType="end"/>
        </w:r>
      </w:hyperlink>
    </w:p>
    <w:p w14:paraId="22D2ECEE" w14:textId="7F63D7C4" w:rsidR="00DA43CE" w:rsidRDefault="00DA43CE">
      <w:pPr>
        <w:pStyle w:val="TOC2"/>
        <w:tabs>
          <w:tab w:val="right" w:leader="dot" w:pos="9016"/>
        </w:tabs>
        <w:rPr>
          <w:rFonts w:asciiTheme="minorHAnsi" w:eastAsiaTheme="minorEastAsia" w:hAnsiTheme="minorHAnsi"/>
          <w:noProof/>
          <w:lang w:eastAsia="en-AU"/>
        </w:rPr>
      </w:pPr>
      <w:hyperlink w:anchor="_Toc14353937" w:history="1">
        <w:r w:rsidRPr="00ED59A3">
          <w:rPr>
            <w:rStyle w:val="Hyperlink"/>
            <w:noProof/>
          </w:rPr>
          <w:t>Slide 22: Australian labour market - trend</w:t>
        </w:r>
        <w:r>
          <w:rPr>
            <w:noProof/>
            <w:webHidden/>
          </w:rPr>
          <w:tab/>
        </w:r>
        <w:r>
          <w:rPr>
            <w:noProof/>
            <w:webHidden/>
          </w:rPr>
          <w:fldChar w:fldCharType="begin"/>
        </w:r>
        <w:r>
          <w:rPr>
            <w:noProof/>
            <w:webHidden/>
          </w:rPr>
          <w:instrText xml:space="preserve"> PAGEREF _Toc14353937 \h </w:instrText>
        </w:r>
        <w:r>
          <w:rPr>
            <w:noProof/>
            <w:webHidden/>
          </w:rPr>
        </w:r>
        <w:r>
          <w:rPr>
            <w:noProof/>
            <w:webHidden/>
          </w:rPr>
          <w:fldChar w:fldCharType="separate"/>
        </w:r>
        <w:r>
          <w:rPr>
            <w:noProof/>
            <w:webHidden/>
          </w:rPr>
          <w:t>8</w:t>
        </w:r>
        <w:r>
          <w:rPr>
            <w:noProof/>
            <w:webHidden/>
          </w:rPr>
          <w:fldChar w:fldCharType="end"/>
        </w:r>
      </w:hyperlink>
    </w:p>
    <w:p w14:paraId="10D82FAB" w14:textId="31FCBA52" w:rsidR="00DA43CE" w:rsidRDefault="00DA43CE">
      <w:pPr>
        <w:pStyle w:val="TOC2"/>
        <w:tabs>
          <w:tab w:val="right" w:leader="dot" w:pos="9016"/>
        </w:tabs>
        <w:rPr>
          <w:rFonts w:asciiTheme="minorHAnsi" w:eastAsiaTheme="minorEastAsia" w:hAnsiTheme="minorHAnsi"/>
          <w:noProof/>
          <w:lang w:eastAsia="en-AU"/>
        </w:rPr>
      </w:pPr>
      <w:hyperlink w:anchor="_Toc14353938" w:history="1">
        <w:r w:rsidRPr="00ED59A3">
          <w:rPr>
            <w:rStyle w:val="Hyperlink"/>
            <w:noProof/>
          </w:rPr>
          <w:t>Slide 23: Employment experience of NDIS participants - trend</w:t>
        </w:r>
        <w:r>
          <w:rPr>
            <w:noProof/>
            <w:webHidden/>
          </w:rPr>
          <w:tab/>
        </w:r>
        <w:r>
          <w:rPr>
            <w:noProof/>
            <w:webHidden/>
          </w:rPr>
          <w:fldChar w:fldCharType="begin"/>
        </w:r>
        <w:r>
          <w:rPr>
            <w:noProof/>
            <w:webHidden/>
          </w:rPr>
          <w:instrText xml:space="preserve"> PAGEREF _Toc14353938 \h </w:instrText>
        </w:r>
        <w:r>
          <w:rPr>
            <w:noProof/>
            <w:webHidden/>
          </w:rPr>
        </w:r>
        <w:r>
          <w:rPr>
            <w:noProof/>
            <w:webHidden/>
          </w:rPr>
          <w:fldChar w:fldCharType="separate"/>
        </w:r>
        <w:r>
          <w:rPr>
            <w:noProof/>
            <w:webHidden/>
          </w:rPr>
          <w:t>8</w:t>
        </w:r>
        <w:r>
          <w:rPr>
            <w:noProof/>
            <w:webHidden/>
          </w:rPr>
          <w:fldChar w:fldCharType="end"/>
        </w:r>
      </w:hyperlink>
    </w:p>
    <w:p w14:paraId="50A9785B" w14:textId="4504036B" w:rsidR="00DA43CE" w:rsidRDefault="00DA43CE">
      <w:pPr>
        <w:pStyle w:val="TOC2"/>
        <w:tabs>
          <w:tab w:val="right" w:leader="dot" w:pos="9016"/>
        </w:tabs>
        <w:rPr>
          <w:rFonts w:asciiTheme="minorHAnsi" w:eastAsiaTheme="minorEastAsia" w:hAnsiTheme="minorHAnsi"/>
          <w:noProof/>
          <w:lang w:eastAsia="en-AU"/>
        </w:rPr>
      </w:pPr>
      <w:hyperlink w:anchor="_Toc14353939" w:history="1">
        <w:r w:rsidRPr="00ED59A3">
          <w:rPr>
            <w:rStyle w:val="Hyperlink"/>
            <w:noProof/>
          </w:rPr>
          <w:t>Slide 24: Employment status transition rates</w:t>
        </w:r>
        <w:r>
          <w:rPr>
            <w:noProof/>
            <w:webHidden/>
          </w:rPr>
          <w:tab/>
        </w:r>
        <w:r>
          <w:rPr>
            <w:noProof/>
            <w:webHidden/>
          </w:rPr>
          <w:fldChar w:fldCharType="begin"/>
        </w:r>
        <w:r>
          <w:rPr>
            <w:noProof/>
            <w:webHidden/>
          </w:rPr>
          <w:instrText xml:space="preserve"> PAGEREF _Toc14353939 \h </w:instrText>
        </w:r>
        <w:r>
          <w:rPr>
            <w:noProof/>
            <w:webHidden/>
          </w:rPr>
        </w:r>
        <w:r>
          <w:rPr>
            <w:noProof/>
            <w:webHidden/>
          </w:rPr>
          <w:fldChar w:fldCharType="separate"/>
        </w:r>
        <w:r>
          <w:rPr>
            <w:noProof/>
            <w:webHidden/>
          </w:rPr>
          <w:t>9</w:t>
        </w:r>
        <w:r>
          <w:rPr>
            <w:noProof/>
            <w:webHidden/>
          </w:rPr>
          <w:fldChar w:fldCharType="end"/>
        </w:r>
      </w:hyperlink>
    </w:p>
    <w:p w14:paraId="107B0E9B" w14:textId="6D39A399" w:rsidR="00DA43CE" w:rsidRDefault="00DA43CE">
      <w:pPr>
        <w:pStyle w:val="TOC2"/>
        <w:tabs>
          <w:tab w:val="right" w:leader="dot" w:pos="9016"/>
        </w:tabs>
        <w:rPr>
          <w:rFonts w:asciiTheme="minorHAnsi" w:eastAsiaTheme="minorEastAsia" w:hAnsiTheme="minorHAnsi"/>
          <w:noProof/>
          <w:lang w:eastAsia="en-AU"/>
        </w:rPr>
      </w:pPr>
      <w:hyperlink w:anchor="_Toc14353940" w:history="1">
        <w:r w:rsidRPr="00ED59A3">
          <w:rPr>
            <w:rStyle w:val="Hyperlink"/>
            <w:noProof/>
          </w:rPr>
          <w:t>Slide 25: Employment goals in participant plans</w:t>
        </w:r>
        <w:r>
          <w:rPr>
            <w:noProof/>
            <w:webHidden/>
          </w:rPr>
          <w:tab/>
        </w:r>
        <w:r>
          <w:rPr>
            <w:noProof/>
            <w:webHidden/>
          </w:rPr>
          <w:fldChar w:fldCharType="begin"/>
        </w:r>
        <w:r>
          <w:rPr>
            <w:noProof/>
            <w:webHidden/>
          </w:rPr>
          <w:instrText xml:space="preserve"> PAGEREF _Toc14353940 \h </w:instrText>
        </w:r>
        <w:r>
          <w:rPr>
            <w:noProof/>
            <w:webHidden/>
          </w:rPr>
        </w:r>
        <w:r>
          <w:rPr>
            <w:noProof/>
            <w:webHidden/>
          </w:rPr>
          <w:fldChar w:fldCharType="separate"/>
        </w:r>
        <w:r>
          <w:rPr>
            <w:noProof/>
            <w:webHidden/>
          </w:rPr>
          <w:t>9</w:t>
        </w:r>
        <w:r>
          <w:rPr>
            <w:noProof/>
            <w:webHidden/>
          </w:rPr>
          <w:fldChar w:fldCharType="end"/>
        </w:r>
      </w:hyperlink>
    </w:p>
    <w:p w14:paraId="5BEC1817" w14:textId="4DCAEAF5" w:rsidR="00DA43CE" w:rsidRDefault="00DA43CE">
      <w:pPr>
        <w:pStyle w:val="TOC2"/>
        <w:tabs>
          <w:tab w:val="right" w:leader="dot" w:pos="9016"/>
        </w:tabs>
        <w:rPr>
          <w:rFonts w:asciiTheme="minorHAnsi" w:eastAsiaTheme="minorEastAsia" w:hAnsiTheme="minorHAnsi"/>
          <w:noProof/>
          <w:lang w:eastAsia="en-AU"/>
        </w:rPr>
      </w:pPr>
      <w:hyperlink w:anchor="_Toc14353941" w:history="1">
        <w:r w:rsidRPr="00ED59A3">
          <w:rPr>
            <w:rStyle w:val="Hyperlink"/>
            <w:noProof/>
          </w:rPr>
          <w:t>Slide 26: Key drivers of employment outcomes</w:t>
        </w:r>
        <w:r>
          <w:rPr>
            <w:noProof/>
            <w:webHidden/>
          </w:rPr>
          <w:tab/>
        </w:r>
        <w:r>
          <w:rPr>
            <w:noProof/>
            <w:webHidden/>
          </w:rPr>
          <w:fldChar w:fldCharType="begin"/>
        </w:r>
        <w:r>
          <w:rPr>
            <w:noProof/>
            <w:webHidden/>
          </w:rPr>
          <w:instrText xml:space="preserve"> PAGEREF _Toc14353941 \h </w:instrText>
        </w:r>
        <w:r>
          <w:rPr>
            <w:noProof/>
            <w:webHidden/>
          </w:rPr>
        </w:r>
        <w:r>
          <w:rPr>
            <w:noProof/>
            <w:webHidden/>
          </w:rPr>
          <w:fldChar w:fldCharType="separate"/>
        </w:r>
        <w:r>
          <w:rPr>
            <w:noProof/>
            <w:webHidden/>
          </w:rPr>
          <w:t>9</w:t>
        </w:r>
        <w:r>
          <w:rPr>
            <w:noProof/>
            <w:webHidden/>
          </w:rPr>
          <w:fldChar w:fldCharType="end"/>
        </w:r>
      </w:hyperlink>
    </w:p>
    <w:p w14:paraId="0B6504A6" w14:textId="69229055" w:rsidR="00DA43CE" w:rsidRDefault="00DA43CE">
      <w:pPr>
        <w:pStyle w:val="TOC2"/>
        <w:tabs>
          <w:tab w:val="right" w:leader="dot" w:pos="9016"/>
        </w:tabs>
        <w:rPr>
          <w:rFonts w:asciiTheme="minorHAnsi" w:eastAsiaTheme="minorEastAsia" w:hAnsiTheme="minorHAnsi"/>
          <w:noProof/>
          <w:lang w:eastAsia="en-AU"/>
        </w:rPr>
      </w:pPr>
      <w:hyperlink w:anchor="_Toc14353942" w:history="1">
        <w:r w:rsidRPr="00ED59A3">
          <w:rPr>
            <w:rStyle w:val="Hyperlink"/>
            <w:noProof/>
          </w:rPr>
          <w:t>Slide 27: Job seekers - Success rates by type of employment at review</w:t>
        </w:r>
        <w:r>
          <w:rPr>
            <w:noProof/>
            <w:webHidden/>
          </w:rPr>
          <w:tab/>
        </w:r>
        <w:r>
          <w:rPr>
            <w:noProof/>
            <w:webHidden/>
          </w:rPr>
          <w:fldChar w:fldCharType="begin"/>
        </w:r>
        <w:r>
          <w:rPr>
            <w:noProof/>
            <w:webHidden/>
          </w:rPr>
          <w:instrText xml:space="preserve"> PAGEREF _Toc14353942 \h </w:instrText>
        </w:r>
        <w:r>
          <w:rPr>
            <w:noProof/>
            <w:webHidden/>
          </w:rPr>
        </w:r>
        <w:r>
          <w:rPr>
            <w:noProof/>
            <w:webHidden/>
          </w:rPr>
          <w:fldChar w:fldCharType="separate"/>
        </w:r>
        <w:r>
          <w:rPr>
            <w:noProof/>
            <w:webHidden/>
          </w:rPr>
          <w:t>10</w:t>
        </w:r>
        <w:r>
          <w:rPr>
            <w:noProof/>
            <w:webHidden/>
          </w:rPr>
          <w:fldChar w:fldCharType="end"/>
        </w:r>
      </w:hyperlink>
    </w:p>
    <w:p w14:paraId="3D70030F" w14:textId="0C4621C9" w:rsidR="00DA43CE" w:rsidRDefault="00DA43CE">
      <w:pPr>
        <w:pStyle w:val="TOC2"/>
        <w:tabs>
          <w:tab w:val="right" w:leader="dot" w:pos="9016"/>
        </w:tabs>
        <w:rPr>
          <w:rFonts w:asciiTheme="minorHAnsi" w:eastAsiaTheme="minorEastAsia" w:hAnsiTheme="minorHAnsi"/>
          <w:noProof/>
          <w:lang w:eastAsia="en-AU"/>
        </w:rPr>
      </w:pPr>
      <w:hyperlink w:anchor="_Toc14353943" w:history="1">
        <w:r w:rsidRPr="00ED59A3">
          <w:rPr>
            <w:rStyle w:val="Hyperlink"/>
            <w:noProof/>
          </w:rPr>
          <w:t>Slide 28: Job seekers aged 15 to 24 - Key drivers of employment success</w:t>
        </w:r>
        <w:r>
          <w:rPr>
            <w:noProof/>
            <w:webHidden/>
          </w:rPr>
          <w:tab/>
        </w:r>
        <w:r>
          <w:rPr>
            <w:noProof/>
            <w:webHidden/>
          </w:rPr>
          <w:fldChar w:fldCharType="begin"/>
        </w:r>
        <w:r>
          <w:rPr>
            <w:noProof/>
            <w:webHidden/>
          </w:rPr>
          <w:instrText xml:space="preserve"> PAGEREF _Toc14353943 \h </w:instrText>
        </w:r>
        <w:r>
          <w:rPr>
            <w:noProof/>
            <w:webHidden/>
          </w:rPr>
        </w:r>
        <w:r>
          <w:rPr>
            <w:noProof/>
            <w:webHidden/>
          </w:rPr>
          <w:fldChar w:fldCharType="separate"/>
        </w:r>
        <w:r>
          <w:rPr>
            <w:noProof/>
            <w:webHidden/>
          </w:rPr>
          <w:t>10</w:t>
        </w:r>
        <w:r>
          <w:rPr>
            <w:noProof/>
            <w:webHidden/>
          </w:rPr>
          <w:fldChar w:fldCharType="end"/>
        </w:r>
      </w:hyperlink>
    </w:p>
    <w:p w14:paraId="0D323D7B" w14:textId="799CDB94" w:rsidR="00DA43CE" w:rsidRDefault="00DA43CE">
      <w:pPr>
        <w:pStyle w:val="TOC2"/>
        <w:tabs>
          <w:tab w:val="right" w:leader="dot" w:pos="9016"/>
        </w:tabs>
        <w:rPr>
          <w:rFonts w:asciiTheme="minorHAnsi" w:eastAsiaTheme="minorEastAsia" w:hAnsiTheme="minorHAnsi"/>
          <w:noProof/>
          <w:lang w:eastAsia="en-AU"/>
        </w:rPr>
      </w:pPr>
      <w:hyperlink w:anchor="_Toc14353944" w:history="1">
        <w:r w:rsidRPr="00ED59A3">
          <w:rPr>
            <w:rStyle w:val="Hyperlink"/>
            <w:noProof/>
          </w:rPr>
          <w:t>Slide 29: Job seekers aged 15 to 24 - Key drivers of employment success</w:t>
        </w:r>
        <w:r>
          <w:rPr>
            <w:noProof/>
            <w:webHidden/>
          </w:rPr>
          <w:tab/>
        </w:r>
        <w:r>
          <w:rPr>
            <w:noProof/>
            <w:webHidden/>
          </w:rPr>
          <w:fldChar w:fldCharType="begin"/>
        </w:r>
        <w:r>
          <w:rPr>
            <w:noProof/>
            <w:webHidden/>
          </w:rPr>
          <w:instrText xml:space="preserve"> PAGEREF _Toc14353944 \h </w:instrText>
        </w:r>
        <w:r>
          <w:rPr>
            <w:noProof/>
            <w:webHidden/>
          </w:rPr>
        </w:r>
        <w:r>
          <w:rPr>
            <w:noProof/>
            <w:webHidden/>
          </w:rPr>
          <w:fldChar w:fldCharType="separate"/>
        </w:r>
        <w:r>
          <w:rPr>
            <w:noProof/>
            <w:webHidden/>
          </w:rPr>
          <w:t>10</w:t>
        </w:r>
        <w:r>
          <w:rPr>
            <w:noProof/>
            <w:webHidden/>
          </w:rPr>
          <w:fldChar w:fldCharType="end"/>
        </w:r>
      </w:hyperlink>
    </w:p>
    <w:p w14:paraId="5B6D41CB" w14:textId="703F47EA" w:rsidR="00DA43CE" w:rsidRDefault="00DA43CE">
      <w:pPr>
        <w:pStyle w:val="TOC2"/>
        <w:tabs>
          <w:tab w:val="right" w:leader="dot" w:pos="9016"/>
        </w:tabs>
        <w:rPr>
          <w:rFonts w:asciiTheme="minorHAnsi" w:eastAsiaTheme="minorEastAsia" w:hAnsiTheme="minorHAnsi"/>
          <w:noProof/>
          <w:lang w:eastAsia="en-AU"/>
        </w:rPr>
      </w:pPr>
      <w:hyperlink w:anchor="_Toc14353945" w:history="1">
        <w:r w:rsidRPr="00ED59A3">
          <w:rPr>
            <w:rStyle w:val="Hyperlink"/>
            <w:noProof/>
          </w:rPr>
          <w:t>Slide 30: Job seekers aged 15 to 24 - Number of daily living activities where participant requires support</w:t>
        </w:r>
        <w:r>
          <w:rPr>
            <w:noProof/>
            <w:webHidden/>
          </w:rPr>
          <w:tab/>
        </w:r>
        <w:r>
          <w:rPr>
            <w:noProof/>
            <w:webHidden/>
          </w:rPr>
          <w:fldChar w:fldCharType="begin"/>
        </w:r>
        <w:r>
          <w:rPr>
            <w:noProof/>
            <w:webHidden/>
          </w:rPr>
          <w:instrText xml:space="preserve"> PAGEREF _Toc14353945 \h </w:instrText>
        </w:r>
        <w:r>
          <w:rPr>
            <w:noProof/>
            <w:webHidden/>
          </w:rPr>
        </w:r>
        <w:r>
          <w:rPr>
            <w:noProof/>
            <w:webHidden/>
          </w:rPr>
          <w:fldChar w:fldCharType="separate"/>
        </w:r>
        <w:r>
          <w:rPr>
            <w:noProof/>
            <w:webHidden/>
          </w:rPr>
          <w:t>11</w:t>
        </w:r>
        <w:r>
          <w:rPr>
            <w:noProof/>
            <w:webHidden/>
          </w:rPr>
          <w:fldChar w:fldCharType="end"/>
        </w:r>
      </w:hyperlink>
    </w:p>
    <w:p w14:paraId="0981E5BC" w14:textId="253E36E7" w:rsidR="00DA43CE" w:rsidRDefault="00DA43CE">
      <w:pPr>
        <w:pStyle w:val="TOC2"/>
        <w:tabs>
          <w:tab w:val="right" w:leader="dot" w:pos="9016"/>
        </w:tabs>
        <w:rPr>
          <w:rFonts w:asciiTheme="minorHAnsi" w:eastAsiaTheme="minorEastAsia" w:hAnsiTheme="minorHAnsi"/>
          <w:noProof/>
          <w:lang w:eastAsia="en-AU"/>
        </w:rPr>
      </w:pPr>
      <w:hyperlink w:anchor="_Toc14353946" w:history="1">
        <w:r w:rsidRPr="00ED59A3">
          <w:rPr>
            <w:rStyle w:val="Hyperlink"/>
            <w:noProof/>
          </w:rPr>
          <w:t>Slide 31: Job seekers aged 15 to 24 - Involvement in a general community group / unpaid work</w:t>
        </w:r>
        <w:r>
          <w:rPr>
            <w:noProof/>
            <w:webHidden/>
          </w:rPr>
          <w:tab/>
        </w:r>
        <w:r>
          <w:rPr>
            <w:noProof/>
            <w:webHidden/>
          </w:rPr>
          <w:fldChar w:fldCharType="begin"/>
        </w:r>
        <w:r>
          <w:rPr>
            <w:noProof/>
            <w:webHidden/>
          </w:rPr>
          <w:instrText xml:space="preserve"> PAGEREF _Toc14353946 \h </w:instrText>
        </w:r>
        <w:r>
          <w:rPr>
            <w:noProof/>
            <w:webHidden/>
          </w:rPr>
        </w:r>
        <w:r>
          <w:rPr>
            <w:noProof/>
            <w:webHidden/>
          </w:rPr>
          <w:fldChar w:fldCharType="separate"/>
        </w:r>
        <w:r>
          <w:rPr>
            <w:noProof/>
            <w:webHidden/>
          </w:rPr>
          <w:t>11</w:t>
        </w:r>
        <w:r>
          <w:rPr>
            <w:noProof/>
            <w:webHidden/>
          </w:rPr>
          <w:fldChar w:fldCharType="end"/>
        </w:r>
      </w:hyperlink>
    </w:p>
    <w:p w14:paraId="575720BB" w14:textId="5F2717E2" w:rsidR="00DA43CE" w:rsidRDefault="00DA43CE">
      <w:pPr>
        <w:pStyle w:val="TOC2"/>
        <w:tabs>
          <w:tab w:val="right" w:leader="dot" w:pos="9016"/>
        </w:tabs>
        <w:rPr>
          <w:rFonts w:asciiTheme="minorHAnsi" w:eastAsiaTheme="minorEastAsia" w:hAnsiTheme="minorHAnsi"/>
          <w:noProof/>
          <w:lang w:eastAsia="en-AU"/>
        </w:rPr>
      </w:pPr>
      <w:hyperlink w:anchor="_Toc14353947" w:history="1">
        <w:r w:rsidRPr="00ED59A3">
          <w:rPr>
            <w:rStyle w:val="Hyperlink"/>
            <w:noProof/>
          </w:rPr>
          <w:t>Slide 32: Job seekers aged 25 and over - Key drivers of employment success</w:t>
        </w:r>
        <w:r>
          <w:rPr>
            <w:noProof/>
            <w:webHidden/>
          </w:rPr>
          <w:tab/>
        </w:r>
        <w:r>
          <w:rPr>
            <w:noProof/>
            <w:webHidden/>
          </w:rPr>
          <w:fldChar w:fldCharType="begin"/>
        </w:r>
        <w:r>
          <w:rPr>
            <w:noProof/>
            <w:webHidden/>
          </w:rPr>
          <w:instrText xml:space="preserve"> PAGEREF _Toc14353947 \h </w:instrText>
        </w:r>
        <w:r>
          <w:rPr>
            <w:noProof/>
            <w:webHidden/>
          </w:rPr>
        </w:r>
        <w:r>
          <w:rPr>
            <w:noProof/>
            <w:webHidden/>
          </w:rPr>
          <w:fldChar w:fldCharType="separate"/>
        </w:r>
        <w:r>
          <w:rPr>
            <w:noProof/>
            <w:webHidden/>
          </w:rPr>
          <w:t>11</w:t>
        </w:r>
        <w:r>
          <w:rPr>
            <w:noProof/>
            <w:webHidden/>
          </w:rPr>
          <w:fldChar w:fldCharType="end"/>
        </w:r>
      </w:hyperlink>
    </w:p>
    <w:p w14:paraId="448F920E" w14:textId="1D0558E2" w:rsidR="00DA43CE" w:rsidRDefault="00DA43CE">
      <w:pPr>
        <w:pStyle w:val="TOC2"/>
        <w:tabs>
          <w:tab w:val="right" w:leader="dot" w:pos="9016"/>
        </w:tabs>
        <w:rPr>
          <w:rFonts w:asciiTheme="minorHAnsi" w:eastAsiaTheme="minorEastAsia" w:hAnsiTheme="minorHAnsi"/>
          <w:noProof/>
          <w:lang w:eastAsia="en-AU"/>
        </w:rPr>
      </w:pPr>
      <w:hyperlink w:anchor="_Toc14353948" w:history="1">
        <w:r w:rsidRPr="00ED59A3">
          <w:rPr>
            <w:rStyle w:val="Hyperlink"/>
            <w:noProof/>
          </w:rPr>
          <w:t>Slide 33: Job seekers aged 25 and over - Key drivers of employment success</w:t>
        </w:r>
        <w:r>
          <w:rPr>
            <w:noProof/>
            <w:webHidden/>
          </w:rPr>
          <w:tab/>
        </w:r>
        <w:r>
          <w:rPr>
            <w:noProof/>
            <w:webHidden/>
          </w:rPr>
          <w:fldChar w:fldCharType="begin"/>
        </w:r>
        <w:r>
          <w:rPr>
            <w:noProof/>
            <w:webHidden/>
          </w:rPr>
          <w:instrText xml:space="preserve"> PAGEREF _Toc14353948 \h </w:instrText>
        </w:r>
        <w:r>
          <w:rPr>
            <w:noProof/>
            <w:webHidden/>
          </w:rPr>
        </w:r>
        <w:r>
          <w:rPr>
            <w:noProof/>
            <w:webHidden/>
          </w:rPr>
          <w:fldChar w:fldCharType="separate"/>
        </w:r>
        <w:r>
          <w:rPr>
            <w:noProof/>
            <w:webHidden/>
          </w:rPr>
          <w:t>12</w:t>
        </w:r>
        <w:r>
          <w:rPr>
            <w:noProof/>
            <w:webHidden/>
          </w:rPr>
          <w:fldChar w:fldCharType="end"/>
        </w:r>
      </w:hyperlink>
    </w:p>
    <w:p w14:paraId="52E3010C" w14:textId="6D148A72" w:rsidR="00DA43CE" w:rsidRDefault="00DA43CE">
      <w:pPr>
        <w:pStyle w:val="TOC2"/>
        <w:tabs>
          <w:tab w:val="right" w:leader="dot" w:pos="9016"/>
        </w:tabs>
        <w:rPr>
          <w:rFonts w:asciiTheme="minorHAnsi" w:eastAsiaTheme="minorEastAsia" w:hAnsiTheme="minorHAnsi"/>
          <w:noProof/>
          <w:lang w:eastAsia="en-AU"/>
        </w:rPr>
      </w:pPr>
      <w:hyperlink w:anchor="_Toc14353949" w:history="1">
        <w:r w:rsidRPr="00ED59A3">
          <w:rPr>
            <w:rStyle w:val="Hyperlink"/>
            <w:noProof/>
          </w:rPr>
          <w:t>Slide 34: Job seekers aged 25 and over - Change in self-assessed health between baseline and review</w:t>
        </w:r>
        <w:r>
          <w:rPr>
            <w:noProof/>
            <w:webHidden/>
          </w:rPr>
          <w:tab/>
        </w:r>
        <w:r>
          <w:rPr>
            <w:noProof/>
            <w:webHidden/>
          </w:rPr>
          <w:fldChar w:fldCharType="begin"/>
        </w:r>
        <w:r>
          <w:rPr>
            <w:noProof/>
            <w:webHidden/>
          </w:rPr>
          <w:instrText xml:space="preserve"> PAGEREF _Toc14353949 \h </w:instrText>
        </w:r>
        <w:r>
          <w:rPr>
            <w:noProof/>
            <w:webHidden/>
          </w:rPr>
        </w:r>
        <w:r>
          <w:rPr>
            <w:noProof/>
            <w:webHidden/>
          </w:rPr>
          <w:fldChar w:fldCharType="separate"/>
        </w:r>
        <w:r>
          <w:rPr>
            <w:noProof/>
            <w:webHidden/>
          </w:rPr>
          <w:t>12</w:t>
        </w:r>
        <w:r>
          <w:rPr>
            <w:noProof/>
            <w:webHidden/>
          </w:rPr>
          <w:fldChar w:fldCharType="end"/>
        </w:r>
      </w:hyperlink>
    </w:p>
    <w:p w14:paraId="69ABFAA8" w14:textId="7F6095F6" w:rsidR="00DA43CE" w:rsidRDefault="00DA43CE">
      <w:pPr>
        <w:pStyle w:val="TOC2"/>
        <w:tabs>
          <w:tab w:val="right" w:leader="dot" w:pos="9016"/>
        </w:tabs>
        <w:rPr>
          <w:rFonts w:asciiTheme="minorHAnsi" w:eastAsiaTheme="minorEastAsia" w:hAnsiTheme="minorHAnsi"/>
          <w:noProof/>
          <w:lang w:eastAsia="en-AU"/>
        </w:rPr>
      </w:pPr>
      <w:hyperlink w:anchor="_Toc14353950" w:history="1">
        <w:r w:rsidRPr="00ED59A3">
          <w:rPr>
            <w:rStyle w:val="Hyperlink"/>
            <w:noProof/>
          </w:rPr>
          <w:t>Slide 35: Job seekers aged 25 and over - Participant has a work goal in their plan</w:t>
        </w:r>
        <w:r>
          <w:rPr>
            <w:noProof/>
            <w:webHidden/>
          </w:rPr>
          <w:tab/>
        </w:r>
        <w:r>
          <w:rPr>
            <w:noProof/>
            <w:webHidden/>
          </w:rPr>
          <w:fldChar w:fldCharType="begin"/>
        </w:r>
        <w:r>
          <w:rPr>
            <w:noProof/>
            <w:webHidden/>
          </w:rPr>
          <w:instrText xml:space="preserve"> PAGEREF _Toc14353950 \h </w:instrText>
        </w:r>
        <w:r>
          <w:rPr>
            <w:noProof/>
            <w:webHidden/>
          </w:rPr>
        </w:r>
        <w:r>
          <w:rPr>
            <w:noProof/>
            <w:webHidden/>
          </w:rPr>
          <w:fldChar w:fldCharType="separate"/>
        </w:r>
        <w:r>
          <w:rPr>
            <w:noProof/>
            <w:webHidden/>
          </w:rPr>
          <w:t>12</w:t>
        </w:r>
        <w:r>
          <w:rPr>
            <w:noProof/>
            <w:webHidden/>
          </w:rPr>
          <w:fldChar w:fldCharType="end"/>
        </w:r>
      </w:hyperlink>
    </w:p>
    <w:p w14:paraId="05BBDBF2" w14:textId="2C3E311C" w:rsidR="00DA43CE" w:rsidRDefault="00DA43CE">
      <w:pPr>
        <w:pStyle w:val="TOC2"/>
        <w:tabs>
          <w:tab w:val="right" w:leader="dot" w:pos="9016"/>
        </w:tabs>
        <w:rPr>
          <w:rFonts w:asciiTheme="minorHAnsi" w:eastAsiaTheme="minorEastAsia" w:hAnsiTheme="minorHAnsi"/>
          <w:noProof/>
          <w:lang w:eastAsia="en-AU"/>
        </w:rPr>
      </w:pPr>
      <w:hyperlink w:anchor="_Toc14353951" w:history="1">
        <w:r w:rsidRPr="00ED59A3">
          <w:rPr>
            <w:rStyle w:val="Hyperlink"/>
            <w:noProof/>
          </w:rPr>
          <w:t>Slide 36: Job seekers aged 25 and over - Participant has NDIS employment funding in their plan</w:t>
        </w:r>
        <w:r>
          <w:rPr>
            <w:noProof/>
            <w:webHidden/>
          </w:rPr>
          <w:tab/>
        </w:r>
        <w:r>
          <w:rPr>
            <w:noProof/>
            <w:webHidden/>
          </w:rPr>
          <w:fldChar w:fldCharType="begin"/>
        </w:r>
        <w:r>
          <w:rPr>
            <w:noProof/>
            <w:webHidden/>
          </w:rPr>
          <w:instrText xml:space="preserve"> PAGEREF _Toc14353951 \h </w:instrText>
        </w:r>
        <w:r>
          <w:rPr>
            <w:noProof/>
            <w:webHidden/>
          </w:rPr>
        </w:r>
        <w:r>
          <w:rPr>
            <w:noProof/>
            <w:webHidden/>
          </w:rPr>
          <w:fldChar w:fldCharType="separate"/>
        </w:r>
        <w:r>
          <w:rPr>
            <w:noProof/>
            <w:webHidden/>
          </w:rPr>
          <w:t>12</w:t>
        </w:r>
        <w:r>
          <w:rPr>
            <w:noProof/>
            <w:webHidden/>
          </w:rPr>
          <w:fldChar w:fldCharType="end"/>
        </w:r>
      </w:hyperlink>
    </w:p>
    <w:p w14:paraId="12F18F62" w14:textId="75D7EFF5" w:rsidR="00DA43CE" w:rsidRDefault="00DA43CE">
      <w:pPr>
        <w:pStyle w:val="TOC2"/>
        <w:tabs>
          <w:tab w:val="right" w:leader="dot" w:pos="9016"/>
        </w:tabs>
        <w:rPr>
          <w:rFonts w:asciiTheme="minorHAnsi" w:eastAsiaTheme="minorEastAsia" w:hAnsiTheme="minorHAnsi"/>
          <w:noProof/>
          <w:lang w:eastAsia="en-AU"/>
        </w:rPr>
      </w:pPr>
      <w:hyperlink w:anchor="_Toc14353952" w:history="1">
        <w:r w:rsidRPr="00ED59A3">
          <w:rPr>
            <w:rStyle w:val="Hyperlink"/>
            <w:noProof/>
          </w:rPr>
          <w:t>Slide 37: Comparison of participants looking for paid work by age group</w:t>
        </w:r>
        <w:r>
          <w:rPr>
            <w:noProof/>
            <w:webHidden/>
          </w:rPr>
          <w:tab/>
        </w:r>
        <w:r>
          <w:rPr>
            <w:noProof/>
            <w:webHidden/>
          </w:rPr>
          <w:fldChar w:fldCharType="begin"/>
        </w:r>
        <w:r>
          <w:rPr>
            <w:noProof/>
            <w:webHidden/>
          </w:rPr>
          <w:instrText xml:space="preserve"> PAGEREF _Toc14353952 \h </w:instrText>
        </w:r>
        <w:r>
          <w:rPr>
            <w:noProof/>
            <w:webHidden/>
          </w:rPr>
        </w:r>
        <w:r>
          <w:rPr>
            <w:noProof/>
            <w:webHidden/>
          </w:rPr>
          <w:fldChar w:fldCharType="separate"/>
        </w:r>
        <w:r>
          <w:rPr>
            <w:noProof/>
            <w:webHidden/>
          </w:rPr>
          <w:t>12</w:t>
        </w:r>
        <w:r>
          <w:rPr>
            <w:noProof/>
            <w:webHidden/>
          </w:rPr>
          <w:fldChar w:fldCharType="end"/>
        </w:r>
      </w:hyperlink>
    </w:p>
    <w:p w14:paraId="58166C7B" w14:textId="283294B8" w:rsidR="00DA43CE" w:rsidRDefault="00DA43CE">
      <w:pPr>
        <w:pStyle w:val="TOC2"/>
        <w:tabs>
          <w:tab w:val="right" w:leader="dot" w:pos="9016"/>
        </w:tabs>
        <w:rPr>
          <w:rFonts w:asciiTheme="minorHAnsi" w:eastAsiaTheme="minorEastAsia" w:hAnsiTheme="minorHAnsi"/>
          <w:noProof/>
          <w:lang w:eastAsia="en-AU"/>
        </w:rPr>
      </w:pPr>
      <w:hyperlink w:anchor="_Toc14353953" w:history="1">
        <w:r w:rsidRPr="00ED59A3">
          <w:rPr>
            <w:rStyle w:val="Hyperlink"/>
            <w:noProof/>
          </w:rPr>
          <w:t>Slide 38: Provider analysis by employment outcomes</w:t>
        </w:r>
        <w:r>
          <w:rPr>
            <w:noProof/>
            <w:webHidden/>
          </w:rPr>
          <w:tab/>
        </w:r>
        <w:r>
          <w:rPr>
            <w:noProof/>
            <w:webHidden/>
          </w:rPr>
          <w:fldChar w:fldCharType="begin"/>
        </w:r>
        <w:r>
          <w:rPr>
            <w:noProof/>
            <w:webHidden/>
          </w:rPr>
          <w:instrText xml:space="preserve"> PAGEREF _Toc14353953 \h </w:instrText>
        </w:r>
        <w:r>
          <w:rPr>
            <w:noProof/>
            <w:webHidden/>
          </w:rPr>
        </w:r>
        <w:r>
          <w:rPr>
            <w:noProof/>
            <w:webHidden/>
          </w:rPr>
          <w:fldChar w:fldCharType="separate"/>
        </w:r>
        <w:r>
          <w:rPr>
            <w:noProof/>
            <w:webHidden/>
          </w:rPr>
          <w:t>13</w:t>
        </w:r>
        <w:r>
          <w:rPr>
            <w:noProof/>
            <w:webHidden/>
          </w:rPr>
          <w:fldChar w:fldCharType="end"/>
        </w:r>
      </w:hyperlink>
    </w:p>
    <w:p w14:paraId="6F4C8844" w14:textId="4AAB3C02" w:rsidR="00DA43CE" w:rsidRDefault="00DA43CE">
      <w:pPr>
        <w:pStyle w:val="TOC2"/>
        <w:tabs>
          <w:tab w:val="right" w:leader="dot" w:pos="9016"/>
        </w:tabs>
        <w:rPr>
          <w:rFonts w:asciiTheme="minorHAnsi" w:eastAsiaTheme="minorEastAsia" w:hAnsiTheme="minorHAnsi"/>
          <w:noProof/>
          <w:lang w:eastAsia="en-AU"/>
        </w:rPr>
      </w:pPr>
      <w:hyperlink w:anchor="_Toc14353954" w:history="1">
        <w:r w:rsidRPr="00ED59A3">
          <w:rPr>
            <w:rStyle w:val="Hyperlink"/>
            <w:noProof/>
          </w:rPr>
          <w:t>Slide 39: Top five providers for employment outcomes</w:t>
        </w:r>
        <w:r>
          <w:rPr>
            <w:noProof/>
            <w:webHidden/>
          </w:rPr>
          <w:tab/>
        </w:r>
        <w:r>
          <w:rPr>
            <w:noProof/>
            <w:webHidden/>
          </w:rPr>
          <w:fldChar w:fldCharType="begin"/>
        </w:r>
        <w:r>
          <w:rPr>
            <w:noProof/>
            <w:webHidden/>
          </w:rPr>
          <w:instrText xml:space="preserve"> PAGEREF _Toc14353954 \h </w:instrText>
        </w:r>
        <w:r>
          <w:rPr>
            <w:noProof/>
            <w:webHidden/>
          </w:rPr>
        </w:r>
        <w:r>
          <w:rPr>
            <w:noProof/>
            <w:webHidden/>
          </w:rPr>
          <w:fldChar w:fldCharType="separate"/>
        </w:r>
        <w:r>
          <w:rPr>
            <w:noProof/>
            <w:webHidden/>
          </w:rPr>
          <w:t>13</w:t>
        </w:r>
        <w:r>
          <w:rPr>
            <w:noProof/>
            <w:webHidden/>
          </w:rPr>
          <w:fldChar w:fldCharType="end"/>
        </w:r>
      </w:hyperlink>
    </w:p>
    <w:p w14:paraId="661493E2" w14:textId="26C4F320" w:rsidR="00DA43CE" w:rsidRDefault="00DA43CE">
      <w:pPr>
        <w:pStyle w:val="TOC2"/>
        <w:tabs>
          <w:tab w:val="right" w:leader="dot" w:pos="9016"/>
        </w:tabs>
        <w:rPr>
          <w:rFonts w:asciiTheme="minorHAnsi" w:eastAsiaTheme="minorEastAsia" w:hAnsiTheme="minorHAnsi"/>
          <w:noProof/>
          <w:lang w:eastAsia="en-AU"/>
        </w:rPr>
      </w:pPr>
      <w:hyperlink w:anchor="_Toc14353955" w:history="1">
        <w:r w:rsidRPr="00ED59A3">
          <w:rPr>
            <w:rStyle w:val="Hyperlink"/>
            <w:noProof/>
          </w:rPr>
          <w:t>Slide 40: Provider A</w:t>
        </w:r>
        <w:r>
          <w:rPr>
            <w:noProof/>
            <w:webHidden/>
          </w:rPr>
          <w:tab/>
        </w:r>
        <w:r>
          <w:rPr>
            <w:noProof/>
            <w:webHidden/>
          </w:rPr>
          <w:fldChar w:fldCharType="begin"/>
        </w:r>
        <w:r>
          <w:rPr>
            <w:noProof/>
            <w:webHidden/>
          </w:rPr>
          <w:instrText xml:space="preserve"> PAGEREF _Toc14353955 \h </w:instrText>
        </w:r>
        <w:r>
          <w:rPr>
            <w:noProof/>
            <w:webHidden/>
          </w:rPr>
        </w:r>
        <w:r>
          <w:rPr>
            <w:noProof/>
            <w:webHidden/>
          </w:rPr>
          <w:fldChar w:fldCharType="separate"/>
        </w:r>
        <w:r>
          <w:rPr>
            <w:noProof/>
            <w:webHidden/>
          </w:rPr>
          <w:t>13</w:t>
        </w:r>
        <w:r>
          <w:rPr>
            <w:noProof/>
            <w:webHidden/>
          </w:rPr>
          <w:fldChar w:fldCharType="end"/>
        </w:r>
      </w:hyperlink>
    </w:p>
    <w:p w14:paraId="3E7A369E" w14:textId="1EEA24D3" w:rsidR="00DA43CE" w:rsidRDefault="00DA43CE">
      <w:pPr>
        <w:pStyle w:val="TOC2"/>
        <w:tabs>
          <w:tab w:val="right" w:leader="dot" w:pos="9016"/>
        </w:tabs>
        <w:rPr>
          <w:rFonts w:asciiTheme="minorHAnsi" w:eastAsiaTheme="minorEastAsia" w:hAnsiTheme="minorHAnsi"/>
          <w:noProof/>
          <w:lang w:eastAsia="en-AU"/>
        </w:rPr>
      </w:pPr>
      <w:hyperlink w:anchor="_Toc14353956" w:history="1">
        <w:r w:rsidRPr="00ED59A3">
          <w:rPr>
            <w:rStyle w:val="Hyperlink"/>
            <w:noProof/>
          </w:rPr>
          <w:t>Slide 41: Employment outcomes for families and carers of NDIS participants</w:t>
        </w:r>
        <w:r>
          <w:rPr>
            <w:noProof/>
            <w:webHidden/>
          </w:rPr>
          <w:tab/>
        </w:r>
        <w:r>
          <w:rPr>
            <w:noProof/>
            <w:webHidden/>
          </w:rPr>
          <w:fldChar w:fldCharType="begin"/>
        </w:r>
        <w:r>
          <w:rPr>
            <w:noProof/>
            <w:webHidden/>
          </w:rPr>
          <w:instrText xml:space="preserve"> PAGEREF _Toc14353956 \h </w:instrText>
        </w:r>
        <w:r>
          <w:rPr>
            <w:noProof/>
            <w:webHidden/>
          </w:rPr>
        </w:r>
        <w:r>
          <w:rPr>
            <w:noProof/>
            <w:webHidden/>
          </w:rPr>
          <w:fldChar w:fldCharType="separate"/>
        </w:r>
        <w:r>
          <w:rPr>
            <w:noProof/>
            <w:webHidden/>
          </w:rPr>
          <w:t>14</w:t>
        </w:r>
        <w:r>
          <w:rPr>
            <w:noProof/>
            <w:webHidden/>
          </w:rPr>
          <w:fldChar w:fldCharType="end"/>
        </w:r>
      </w:hyperlink>
    </w:p>
    <w:p w14:paraId="718E2C5A" w14:textId="570F14EF" w:rsidR="00DA43CE" w:rsidRDefault="00DA43CE">
      <w:pPr>
        <w:pStyle w:val="TOC2"/>
        <w:tabs>
          <w:tab w:val="right" w:leader="dot" w:pos="9016"/>
        </w:tabs>
        <w:rPr>
          <w:rFonts w:asciiTheme="minorHAnsi" w:eastAsiaTheme="minorEastAsia" w:hAnsiTheme="minorHAnsi"/>
          <w:noProof/>
          <w:lang w:eastAsia="en-AU"/>
        </w:rPr>
      </w:pPr>
      <w:hyperlink w:anchor="_Toc14353957" w:history="1">
        <w:r w:rsidRPr="00ED59A3">
          <w:rPr>
            <w:rStyle w:val="Hyperlink"/>
            <w:noProof/>
          </w:rPr>
          <w:t>Slide 42: Outline</w:t>
        </w:r>
        <w:r>
          <w:rPr>
            <w:noProof/>
            <w:webHidden/>
          </w:rPr>
          <w:tab/>
        </w:r>
        <w:r>
          <w:rPr>
            <w:noProof/>
            <w:webHidden/>
          </w:rPr>
          <w:fldChar w:fldCharType="begin"/>
        </w:r>
        <w:r>
          <w:rPr>
            <w:noProof/>
            <w:webHidden/>
          </w:rPr>
          <w:instrText xml:space="preserve"> PAGEREF _Toc14353957 \h </w:instrText>
        </w:r>
        <w:r>
          <w:rPr>
            <w:noProof/>
            <w:webHidden/>
          </w:rPr>
        </w:r>
        <w:r>
          <w:rPr>
            <w:noProof/>
            <w:webHidden/>
          </w:rPr>
          <w:fldChar w:fldCharType="separate"/>
        </w:r>
        <w:r>
          <w:rPr>
            <w:noProof/>
            <w:webHidden/>
          </w:rPr>
          <w:t>14</w:t>
        </w:r>
        <w:r>
          <w:rPr>
            <w:noProof/>
            <w:webHidden/>
          </w:rPr>
          <w:fldChar w:fldCharType="end"/>
        </w:r>
      </w:hyperlink>
    </w:p>
    <w:p w14:paraId="76487A8B" w14:textId="549960D2" w:rsidR="00DA43CE" w:rsidRDefault="00DA43CE">
      <w:pPr>
        <w:pStyle w:val="TOC2"/>
        <w:tabs>
          <w:tab w:val="right" w:leader="dot" w:pos="9016"/>
        </w:tabs>
        <w:rPr>
          <w:rFonts w:asciiTheme="minorHAnsi" w:eastAsiaTheme="minorEastAsia" w:hAnsiTheme="minorHAnsi"/>
          <w:noProof/>
          <w:lang w:eastAsia="en-AU"/>
        </w:rPr>
      </w:pPr>
      <w:hyperlink w:anchor="_Toc14353958" w:history="1">
        <w:r w:rsidRPr="00ED59A3">
          <w:rPr>
            <w:rStyle w:val="Hyperlink"/>
            <w:noProof/>
          </w:rPr>
          <w:t>Slide 43: Economic benefits of increased employment for carers of Australians with disability</w:t>
        </w:r>
        <w:r>
          <w:rPr>
            <w:noProof/>
            <w:webHidden/>
          </w:rPr>
          <w:tab/>
        </w:r>
        <w:r>
          <w:rPr>
            <w:noProof/>
            <w:webHidden/>
          </w:rPr>
          <w:fldChar w:fldCharType="begin"/>
        </w:r>
        <w:r>
          <w:rPr>
            <w:noProof/>
            <w:webHidden/>
          </w:rPr>
          <w:instrText xml:space="preserve"> PAGEREF _Toc14353958 \h </w:instrText>
        </w:r>
        <w:r>
          <w:rPr>
            <w:noProof/>
            <w:webHidden/>
          </w:rPr>
        </w:r>
        <w:r>
          <w:rPr>
            <w:noProof/>
            <w:webHidden/>
          </w:rPr>
          <w:fldChar w:fldCharType="separate"/>
        </w:r>
        <w:r>
          <w:rPr>
            <w:noProof/>
            <w:webHidden/>
          </w:rPr>
          <w:t>14</w:t>
        </w:r>
        <w:r>
          <w:rPr>
            <w:noProof/>
            <w:webHidden/>
          </w:rPr>
          <w:fldChar w:fldCharType="end"/>
        </w:r>
      </w:hyperlink>
    </w:p>
    <w:p w14:paraId="55921E75" w14:textId="535EFCC7" w:rsidR="00DA43CE" w:rsidRDefault="00DA43CE">
      <w:pPr>
        <w:pStyle w:val="TOC2"/>
        <w:tabs>
          <w:tab w:val="right" w:leader="dot" w:pos="9016"/>
        </w:tabs>
        <w:rPr>
          <w:rFonts w:asciiTheme="minorHAnsi" w:eastAsiaTheme="minorEastAsia" w:hAnsiTheme="minorHAnsi"/>
          <w:noProof/>
          <w:lang w:eastAsia="en-AU"/>
        </w:rPr>
      </w:pPr>
      <w:hyperlink w:anchor="_Toc14353959" w:history="1">
        <w:r w:rsidRPr="00ED59A3">
          <w:rPr>
            <w:rStyle w:val="Hyperlink"/>
            <w:noProof/>
          </w:rPr>
          <w:t>Slide 44: Carers in Australia, demographic characteristics</w:t>
        </w:r>
        <w:r>
          <w:rPr>
            <w:noProof/>
            <w:webHidden/>
          </w:rPr>
          <w:tab/>
        </w:r>
        <w:r>
          <w:rPr>
            <w:noProof/>
            <w:webHidden/>
          </w:rPr>
          <w:fldChar w:fldCharType="begin"/>
        </w:r>
        <w:r>
          <w:rPr>
            <w:noProof/>
            <w:webHidden/>
          </w:rPr>
          <w:instrText xml:space="preserve"> PAGEREF _Toc14353959 \h </w:instrText>
        </w:r>
        <w:r>
          <w:rPr>
            <w:noProof/>
            <w:webHidden/>
          </w:rPr>
        </w:r>
        <w:r>
          <w:rPr>
            <w:noProof/>
            <w:webHidden/>
          </w:rPr>
          <w:fldChar w:fldCharType="separate"/>
        </w:r>
        <w:r>
          <w:rPr>
            <w:noProof/>
            <w:webHidden/>
          </w:rPr>
          <w:t>14</w:t>
        </w:r>
        <w:r>
          <w:rPr>
            <w:noProof/>
            <w:webHidden/>
          </w:rPr>
          <w:fldChar w:fldCharType="end"/>
        </w:r>
      </w:hyperlink>
    </w:p>
    <w:p w14:paraId="61A74100" w14:textId="5B869D13" w:rsidR="00DA43CE" w:rsidRDefault="00DA43CE">
      <w:pPr>
        <w:pStyle w:val="TOC2"/>
        <w:tabs>
          <w:tab w:val="right" w:leader="dot" w:pos="9016"/>
        </w:tabs>
        <w:rPr>
          <w:rFonts w:asciiTheme="minorHAnsi" w:eastAsiaTheme="minorEastAsia" w:hAnsiTheme="minorHAnsi"/>
          <w:noProof/>
          <w:lang w:eastAsia="en-AU"/>
        </w:rPr>
      </w:pPr>
      <w:hyperlink w:anchor="_Toc14353960" w:history="1">
        <w:r w:rsidRPr="00ED59A3">
          <w:rPr>
            <w:rStyle w:val="Hyperlink"/>
            <w:noProof/>
          </w:rPr>
          <w:t>Slide 45: Employment experience of Australian carers</w:t>
        </w:r>
        <w:r>
          <w:rPr>
            <w:noProof/>
            <w:webHidden/>
          </w:rPr>
          <w:tab/>
        </w:r>
        <w:r>
          <w:rPr>
            <w:noProof/>
            <w:webHidden/>
          </w:rPr>
          <w:fldChar w:fldCharType="begin"/>
        </w:r>
        <w:r>
          <w:rPr>
            <w:noProof/>
            <w:webHidden/>
          </w:rPr>
          <w:instrText xml:space="preserve"> PAGEREF _Toc14353960 \h </w:instrText>
        </w:r>
        <w:r>
          <w:rPr>
            <w:noProof/>
            <w:webHidden/>
          </w:rPr>
        </w:r>
        <w:r>
          <w:rPr>
            <w:noProof/>
            <w:webHidden/>
          </w:rPr>
          <w:fldChar w:fldCharType="separate"/>
        </w:r>
        <w:r>
          <w:rPr>
            <w:noProof/>
            <w:webHidden/>
          </w:rPr>
          <w:t>15</w:t>
        </w:r>
        <w:r>
          <w:rPr>
            <w:noProof/>
            <w:webHidden/>
          </w:rPr>
          <w:fldChar w:fldCharType="end"/>
        </w:r>
      </w:hyperlink>
    </w:p>
    <w:p w14:paraId="68757650" w14:textId="2895E2AB" w:rsidR="00DA43CE" w:rsidRDefault="00DA43CE">
      <w:pPr>
        <w:pStyle w:val="TOC2"/>
        <w:tabs>
          <w:tab w:val="right" w:leader="dot" w:pos="9016"/>
        </w:tabs>
        <w:rPr>
          <w:rFonts w:asciiTheme="minorHAnsi" w:eastAsiaTheme="minorEastAsia" w:hAnsiTheme="minorHAnsi"/>
          <w:noProof/>
          <w:lang w:eastAsia="en-AU"/>
        </w:rPr>
      </w:pPr>
      <w:hyperlink w:anchor="_Toc14353961" w:history="1">
        <w:r w:rsidRPr="00ED59A3">
          <w:rPr>
            <w:rStyle w:val="Hyperlink"/>
            <w:noProof/>
          </w:rPr>
          <w:t>Slide 46: Employment experiences of family members/carers of NDIS participants: Baseline</w:t>
        </w:r>
        <w:r>
          <w:rPr>
            <w:noProof/>
            <w:webHidden/>
          </w:rPr>
          <w:tab/>
        </w:r>
        <w:r>
          <w:rPr>
            <w:noProof/>
            <w:webHidden/>
          </w:rPr>
          <w:fldChar w:fldCharType="begin"/>
        </w:r>
        <w:r>
          <w:rPr>
            <w:noProof/>
            <w:webHidden/>
          </w:rPr>
          <w:instrText xml:space="preserve"> PAGEREF _Toc14353961 \h </w:instrText>
        </w:r>
        <w:r>
          <w:rPr>
            <w:noProof/>
            <w:webHidden/>
          </w:rPr>
        </w:r>
        <w:r>
          <w:rPr>
            <w:noProof/>
            <w:webHidden/>
          </w:rPr>
          <w:fldChar w:fldCharType="separate"/>
        </w:r>
        <w:r>
          <w:rPr>
            <w:noProof/>
            <w:webHidden/>
          </w:rPr>
          <w:t>15</w:t>
        </w:r>
        <w:r>
          <w:rPr>
            <w:noProof/>
            <w:webHidden/>
          </w:rPr>
          <w:fldChar w:fldCharType="end"/>
        </w:r>
      </w:hyperlink>
    </w:p>
    <w:p w14:paraId="7D48C8AE" w14:textId="6B8B13CB" w:rsidR="00DA43CE" w:rsidRDefault="00DA43CE">
      <w:pPr>
        <w:pStyle w:val="TOC2"/>
        <w:tabs>
          <w:tab w:val="right" w:leader="dot" w:pos="9016"/>
        </w:tabs>
        <w:rPr>
          <w:rFonts w:asciiTheme="minorHAnsi" w:eastAsiaTheme="minorEastAsia" w:hAnsiTheme="minorHAnsi"/>
          <w:noProof/>
          <w:lang w:eastAsia="en-AU"/>
        </w:rPr>
      </w:pPr>
      <w:hyperlink w:anchor="_Toc14353962" w:history="1">
        <w:r w:rsidRPr="00ED59A3">
          <w:rPr>
            <w:rStyle w:val="Hyperlink"/>
            <w:noProof/>
          </w:rPr>
          <w:t>Slide 47: Employment experiences at baseline - Families/carers of participants aged 0 to 14</w:t>
        </w:r>
        <w:r>
          <w:rPr>
            <w:noProof/>
            <w:webHidden/>
          </w:rPr>
          <w:tab/>
        </w:r>
        <w:r>
          <w:rPr>
            <w:noProof/>
            <w:webHidden/>
          </w:rPr>
          <w:fldChar w:fldCharType="begin"/>
        </w:r>
        <w:r>
          <w:rPr>
            <w:noProof/>
            <w:webHidden/>
          </w:rPr>
          <w:instrText xml:space="preserve"> PAGEREF _Toc14353962 \h </w:instrText>
        </w:r>
        <w:r>
          <w:rPr>
            <w:noProof/>
            <w:webHidden/>
          </w:rPr>
        </w:r>
        <w:r>
          <w:rPr>
            <w:noProof/>
            <w:webHidden/>
          </w:rPr>
          <w:fldChar w:fldCharType="separate"/>
        </w:r>
        <w:r>
          <w:rPr>
            <w:noProof/>
            <w:webHidden/>
          </w:rPr>
          <w:t>15</w:t>
        </w:r>
        <w:r>
          <w:rPr>
            <w:noProof/>
            <w:webHidden/>
          </w:rPr>
          <w:fldChar w:fldCharType="end"/>
        </w:r>
      </w:hyperlink>
    </w:p>
    <w:p w14:paraId="6C47B172" w14:textId="6969FE37" w:rsidR="00DA43CE" w:rsidRDefault="00DA43CE">
      <w:pPr>
        <w:pStyle w:val="TOC2"/>
        <w:tabs>
          <w:tab w:val="right" w:leader="dot" w:pos="9016"/>
        </w:tabs>
        <w:rPr>
          <w:rFonts w:asciiTheme="minorHAnsi" w:eastAsiaTheme="minorEastAsia" w:hAnsiTheme="minorHAnsi"/>
          <w:noProof/>
          <w:lang w:eastAsia="en-AU"/>
        </w:rPr>
      </w:pPr>
      <w:hyperlink w:anchor="_Toc14353963" w:history="1">
        <w:r w:rsidRPr="00ED59A3">
          <w:rPr>
            <w:rStyle w:val="Hyperlink"/>
            <w:noProof/>
          </w:rPr>
          <w:t>Slide 48: Employment experiences at baseline: Families/carers of participants aged 15 to 24</w:t>
        </w:r>
        <w:r>
          <w:rPr>
            <w:noProof/>
            <w:webHidden/>
          </w:rPr>
          <w:tab/>
        </w:r>
        <w:r>
          <w:rPr>
            <w:noProof/>
            <w:webHidden/>
          </w:rPr>
          <w:fldChar w:fldCharType="begin"/>
        </w:r>
        <w:r>
          <w:rPr>
            <w:noProof/>
            <w:webHidden/>
          </w:rPr>
          <w:instrText xml:space="preserve"> PAGEREF _Toc14353963 \h </w:instrText>
        </w:r>
        <w:r>
          <w:rPr>
            <w:noProof/>
            <w:webHidden/>
          </w:rPr>
        </w:r>
        <w:r>
          <w:rPr>
            <w:noProof/>
            <w:webHidden/>
          </w:rPr>
          <w:fldChar w:fldCharType="separate"/>
        </w:r>
        <w:r>
          <w:rPr>
            <w:noProof/>
            <w:webHidden/>
          </w:rPr>
          <w:t>16</w:t>
        </w:r>
        <w:r>
          <w:rPr>
            <w:noProof/>
            <w:webHidden/>
          </w:rPr>
          <w:fldChar w:fldCharType="end"/>
        </w:r>
      </w:hyperlink>
    </w:p>
    <w:p w14:paraId="156F5488" w14:textId="6C519FB4" w:rsidR="00DA43CE" w:rsidRDefault="00DA43CE">
      <w:pPr>
        <w:pStyle w:val="TOC2"/>
        <w:tabs>
          <w:tab w:val="right" w:leader="dot" w:pos="9016"/>
        </w:tabs>
        <w:rPr>
          <w:rFonts w:asciiTheme="minorHAnsi" w:eastAsiaTheme="minorEastAsia" w:hAnsiTheme="minorHAnsi"/>
          <w:noProof/>
          <w:lang w:eastAsia="en-AU"/>
        </w:rPr>
      </w:pPr>
      <w:hyperlink w:anchor="_Toc14353964" w:history="1">
        <w:r w:rsidRPr="00ED59A3">
          <w:rPr>
            <w:rStyle w:val="Hyperlink"/>
            <w:noProof/>
          </w:rPr>
          <w:t>Slide 49: Employment experiences at baseline: Families/carers of participants aged 25 and over</w:t>
        </w:r>
        <w:r>
          <w:rPr>
            <w:noProof/>
            <w:webHidden/>
          </w:rPr>
          <w:tab/>
        </w:r>
        <w:r>
          <w:rPr>
            <w:noProof/>
            <w:webHidden/>
          </w:rPr>
          <w:fldChar w:fldCharType="begin"/>
        </w:r>
        <w:r>
          <w:rPr>
            <w:noProof/>
            <w:webHidden/>
          </w:rPr>
          <w:instrText xml:space="preserve"> PAGEREF _Toc14353964 \h </w:instrText>
        </w:r>
        <w:r>
          <w:rPr>
            <w:noProof/>
            <w:webHidden/>
          </w:rPr>
        </w:r>
        <w:r>
          <w:rPr>
            <w:noProof/>
            <w:webHidden/>
          </w:rPr>
          <w:fldChar w:fldCharType="separate"/>
        </w:r>
        <w:r>
          <w:rPr>
            <w:noProof/>
            <w:webHidden/>
          </w:rPr>
          <w:t>16</w:t>
        </w:r>
        <w:r>
          <w:rPr>
            <w:noProof/>
            <w:webHidden/>
          </w:rPr>
          <w:fldChar w:fldCharType="end"/>
        </w:r>
      </w:hyperlink>
    </w:p>
    <w:p w14:paraId="6B0AB175" w14:textId="0E93336C" w:rsidR="00DA43CE" w:rsidRDefault="00DA43CE">
      <w:pPr>
        <w:pStyle w:val="TOC2"/>
        <w:tabs>
          <w:tab w:val="right" w:leader="dot" w:pos="9016"/>
        </w:tabs>
        <w:rPr>
          <w:rFonts w:asciiTheme="minorHAnsi" w:eastAsiaTheme="minorEastAsia" w:hAnsiTheme="minorHAnsi"/>
          <w:noProof/>
          <w:lang w:eastAsia="en-AU"/>
        </w:rPr>
      </w:pPr>
      <w:hyperlink w:anchor="_Toc14353965" w:history="1">
        <w:r w:rsidRPr="00ED59A3">
          <w:rPr>
            <w:rStyle w:val="Hyperlink"/>
            <w:noProof/>
          </w:rPr>
          <w:t>Slide 50: Employment experiences: Mothers of participants aged 0 to 11 years</w:t>
        </w:r>
        <w:r>
          <w:rPr>
            <w:noProof/>
            <w:webHidden/>
          </w:rPr>
          <w:tab/>
        </w:r>
        <w:r>
          <w:rPr>
            <w:noProof/>
            <w:webHidden/>
          </w:rPr>
          <w:fldChar w:fldCharType="begin"/>
        </w:r>
        <w:r>
          <w:rPr>
            <w:noProof/>
            <w:webHidden/>
          </w:rPr>
          <w:instrText xml:space="preserve"> PAGEREF _Toc14353965 \h </w:instrText>
        </w:r>
        <w:r>
          <w:rPr>
            <w:noProof/>
            <w:webHidden/>
          </w:rPr>
        </w:r>
        <w:r>
          <w:rPr>
            <w:noProof/>
            <w:webHidden/>
          </w:rPr>
          <w:fldChar w:fldCharType="separate"/>
        </w:r>
        <w:r>
          <w:rPr>
            <w:noProof/>
            <w:webHidden/>
          </w:rPr>
          <w:t>16</w:t>
        </w:r>
        <w:r>
          <w:rPr>
            <w:noProof/>
            <w:webHidden/>
          </w:rPr>
          <w:fldChar w:fldCharType="end"/>
        </w:r>
      </w:hyperlink>
    </w:p>
    <w:p w14:paraId="1446BD5C" w14:textId="23526C99" w:rsidR="00DA43CE" w:rsidRDefault="00DA43CE">
      <w:pPr>
        <w:pStyle w:val="TOC2"/>
        <w:tabs>
          <w:tab w:val="right" w:leader="dot" w:pos="9016"/>
        </w:tabs>
        <w:rPr>
          <w:rFonts w:asciiTheme="minorHAnsi" w:eastAsiaTheme="minorEastAsia" w:hAnsiTheme="minorHAnsi"/>
          <w:noProof/>
          <w:lang w:eastAsia="en-AU"/>
        </w:rPr>
      </w:pPr>
      <w:hyperlink w:anchor="_Toc14353966" w:history="1">
        <w:r w:rsidRPr="00ED59A3">
          <w:rPr>
            <w:rStyle w:val="Hyperlink"/>
            <w:noProof/>
          </w:rPr>
          <w:t>Slide 51: Employment experiences at baseline: By relationship to participant and age of participant</w:t>
        </w:r>
        <w:r>
          <w:rPr>
            <w:noProof/>
            <w:webHidden/>
          </w:rPr>
          <w:tab/>
        </w:r>
        <w:r>
          <w:rPr>
            <w:noProof/>
            <w:webHidden/>
          </w:rPr>
          <w:fldChar w:fldCharType="begin"/>
        </w:r>
        <w:r>
          <w:rPr>
            <w:noProof/>
            <w:webHidden/>
          </w:rPr>
          <w:instrText xml:space="preserve"> PAGEREF _Toc14353966 \h </w:instrText>
        </w:r>
        <w:r>
          <w:rPr>
            <w:noProof/>
            <w:webHidden/>
          </w:rPr>
        </w:r>
        <w:r>
          <w:rPr>
            <w:noProof/>
            <w:webHidden/>
          </w:rPr>
          <w:fldChar w:fldCharType="separate"/>
        </w:r>
        <w:r>
          <w:rPr>
            <w:noProof/>
            <w:webHidden/>
          </w:rPr>
          <w:t>17</w:t>
        </w:r>
        <w:r>
          <w:rPr>
            <w:noProof/>
            <w:webHidden/>
          </w:rPr>
          <w:fldChar w:fldCharType="end"/>
        </w:r>
      </w:hyperlink>
    </w:p>
    <w:p w14:paraId="78DB1C9A" w14:textId="735A05C9" w:rsidR="00DA43CE" w:rsidRDefault="00DA43CE">
      <w:pPr>
        <w:pStyle w:val="TOC2"/>
        <w:tabs>
          <w:tab w:val="right" w:leader="dot" w:pos="9016"/>
        </w:tabs>
        <w:rPr>
          <w:rFonts w:asciiTheme="minorHAnsi" w:eastAsiaTheme="minorEastAsia" w:hAnsiTheme="minorHAnsi"/>
          <w:noProof/>
          <w:lang w:eastAsia="en-AU"/>
        </w:rPr>
      </w:pPr>
      <w:hyperlink w:anchor="_Toc14353967" w:history="1">
        <w:r w:rsidRPr="00ED59A3">
          <w:rPr>
            <w:rStyle w:val="Hyperlink"/>
            <w:noProof/>
          </w:rPr>
          <w:t>Slide 52: Employment experiences of families/carers - Trend</w:t>
        </w:r>
        <w:r>
          <w:rPr>
            <w:noProof/>
            <w:webHidden/>
          </w:rPr>
          <w:tab/>
        </w:r>
        <w:r>
          <w:rPr>
            <w:noProof/>
            <w:webHidden/>
          </w:rPr>
          <w:fldChar w:fldCharType="begin"/>
        </w:r>
        <w:r>
          <w:rPr>
            <w:noProof/>
            <w:webHidden/>
          </w:rPr>
          <w:instrText xml:space="preserve"> PAGEREF _Toc14353967 \h </w:instrText>
        </w:r>
        <w:r>
          <w:rPr>
            <w:noProof/>
            <w:webHidden/>
          </w:rPr>
        </w:r>
        <w:r>
          <w:rPr>
            <w:noProof/>
            <w:webHidden/>
          </w:rPr>
          <w:fldChar w:fldCharType="separate"/>
        </w:r>
        <w:r>
          <w:rPr>
            <w:noProof/>
            <w:webHidden/>
          </w:rPr>
          <w:t>17</w:t>
        </w:r>
        <w:r>
          <w:rPr>
            <w:noProof/>
            <w:webHidden/>
          </w:rPr>
          <w:fldChar w:fldCharType="end"/>
        </w:r>
      </w:hyperlink>
    </w:p>
    <w:p w14:paraId="08E54A44" w14:textId="33F37B95" w:rsidR="00DA43CE" w:rsidRDefault="00DA43CE">
      <w:pPr>
        <w:pStyle w:val="TOC2"/>
        <w:tabs>
          <w:tab w:val="right" w:leader="dot" w:pos="9016"/>
        </w:tabs>
        <w:rPr>
          <w:rFonts w:asciiTheme="minorHAnsi" w:eastAsiaTheme="minorEastAsia" w:hAnsiTheme="minorHAnsi"/>
          <w:noProof/>
          <w:lang w:eastAsia="en-AU"/>
        </w:rPr>
      </w:pPr>
      <w:hyperlink w:anchor="_Toc14353968" w:history="1">
        <w:r w:rsidRPr="00ED59A3">
          <w:rPr>
            <w:rStyle w:val="Hyperlink"/>
            <w:noProof/>
          </w:rPr>
          <w:t>Slide 53: Employment experiences of families/carers - Type of employment</w:t>
        </w:r>
        <w:r>
          <w:rPr>
            <w:noProof/>
            <w:webHidden/>
          </w:rPr>
          <w:tab/>
        </w:r>
        <w:r>
          <w:rPr>
            <w:noProof/>
            <w:webHidden/>
          </w:rPr>
          <w:fldChar w:fldCharType="begin"/>
        </w:r>
        <w:r>
          <w:rPr>
            <w:noProof/>
            <w:webHidden/>
          </w:rPr>
          <w:instrText xml:space="preserve"> PAGEREF _Toc14353968 \h </w:instrText>
        </w:r>
        <w:r>
          <w:rPr>
            <w:noProof/>
            <w:webHidden/>
          </w:rPr>
        </w:r>
        <w:r>
          <w:rPr>
            <w:noProof/>
            <w:webHidden/>
          </w:rPr>
          <w:fldChar w:fldCharType="separate"/>
        </w:r>
        <w:r>
          <w:rPr>
            <w:noProof/>
            <w:webHidden/>
          </w:rPr>
          <w:t>18</w:t>
        </w:r>
        <w:r>
          <w:rPr>
            <w:noProof/>
            <w:webHidden/>
          </w:rPr>
          <w:fldChar w:fldCharType="end"/>
        </w:r>
      </w:hyperlink>
    </w:p>
    <w:p w14:paraId="5F5ED22A" w14:textId="765912C3" w:rsidR="00DA43CE" w:rsidRDefault="00DA43CE">
      <w:pPr>
        <w:pStyle w:val="TOC2"/>
        <w:tabs>
          <w:tab w:val="right" w:leader="dot" w:pos="9016"/>
        </w:tabs>
        <w:rPr>
          <w:rFonts w:asciiTheme="minorHAnsi" w:eastAsiaTheme="minorEastAsia" w:hAnsiTheme="minorHAnsi"/>
          <w:noProof/>
          <w:lang w:eastAsia="en-AU"/>
        </w:rPr>
      </w:pPr>
      <w:hyperlink w:anchor="_Toc14353969" w:history="1">
        <w:r w:rsidRPr="00ED59A3">
          <w:rPr>
            <w:rStyle w:val="Hyperlink"/>
            <w:noProof/>
          </w:rPr>
          <w:t>Slide 54: Barriers to employment: Families/carers of participants aged 0 to 14</w:t>
        </w:r>
        <w:r>
          <w:rPr>
            <w:noProof/>
            <w:webHidden/>
          </w:rPr>
          <w:tab/>
        </w:r>
        <w:r>
          <w:rPr>
            <w:noProof/>
            <w:webHidden/>
          </w:rPr>
          <w:fldChar w:fldCharType="begin"/>
        </w:r>
        <w:r>
          <w:rPr>
            <w:noProof/>
            <w:webHidden/>
          </w:rPr>
          <w:instrText xml:space="preserve"> PAGEREF _Toc14353969 \h </w:instrText>
        </w:r>
        <w:r>
          <w:rPr>
            <w:noProof/>
            <w:webHidden/>
          </w:rPr>
        </w:r>
        <w:r>
          <w:rPr>
            <w:noProof/>
            <w:webHidden/>
          </w:rPr>
          <w:fldChar w:fldCharType="separate"/>
        </w:r>
        <w:r>
          <w:rPr>
            <w:noProof/>
            <w:webHidden/>
          </w:rPr>
          <w:t>18</w:t>
        </w:r>
        <w:r>
          <w:rPr>
            <w:noProof/>
            <w:webHidden/>
          </w:rPr>
          <w:fldChar w:fldCharType="end"/>
        </w:r>
      </w:hyperlink>
    </w:p>
    <w:p w14:paraId="53B18FB1" w14:textId="18F88136" w:rsidR="00DA43CE" w:rsidRDefault="00DA43CE">
      <w:pPr>
        <w:pStyle w:val="TOC2"/>
        <w:tabs>
          <w:tab w:val="right" w:leader="dot" w:pos="9016"/>
        </w:tabs>
        <w:rPr>
          <w:rFonts w:asciiTheme="minorHAnsi" w:eastAsiaTheme="minorEastAsia" w:hAnsiTheme="minorHAnsi"/>
          <w:noProof/>
          <w:lang w:eastAsia="en-AU"/>
        </w:rPr>
      </w:pPr>
      <w:hyperlink w:anchor="_Toc14353970" w:history="1">
        <w:r w:rsidRPr="00ED59A3">
          <w:rPr>
            <w:rStyle w:val="Hyperlink"/>
            <w:noProof/>
          </w:rPr>
          <w:t>Slide 55: Barriers to employment: Families/carers of participants aged 15 and over</w:t>
        </w:r>
        <w:r>
          <w:rPr>
            <w:noProof/>
            <w:webHidden/>
          </w:rPr>
          <w:tab/>
        </w:r>
        <w:r>
          <w:rPr>
            <w:noProof/>
            <w:webHidden/>
          </w:rPr>
          <w:fldChar w:fldCharType="begin"/>
        </w:r>
        <w:r>
          <w:rPr>
            <w:noProof/>
            <w:webHidden/>
          </w:rPr>
          <w:instrText xml:space="preserve"> PAGEREF _Toc14353970 \h </w:instrText>
        </w:r>
        <w:r>
          <w:rPr>
            <w:noProof/>
            <w:webHidden/>
          </w:rPr>
        </w:r>
        <w:r>
          <w:rPr>
            <w:noProof/>
            <w:webHidden/>
          </w:rPr>
          <w:fldChar w:fldCharType="separate"/>
        </w:r>
        <w:r>
          <w:rPr>
            <w:noProof/>
            <w:webHidden/>
          </w:rPr>
          <w:t>18</w:t>
        </w:r>
        <w:r>
          <w:rPr>
            <w:noProof/>
            <w:webHidden/>
          </w:rPr>
          <w:fldChar w:fldCharType="end"/>
        </w:r>
      </w:hyperlink>
    </w:p>
    <w:p w14:paraId="5DE24B7F" w14:textId="41787417" w:rsidR="00DA43CE" w:rsidRDefault="00DA43CE">
      <w:pPr>
        <w:pStyle w:val="TOC2"/>
        <w:tabs>
          <w:tab w:val="right" w:leader="dot" w:pos="9016"/>
        </w:tabs>
        <w:rPr>
          <w:rFonts w:asciiTheme="minorHAnsi" w:eastAsiaTheme="minorEastAsia" w:hAnsiTheme="minorHAnsi"/>
          <w:noProof/>
          <w:lang w:eastAsia="en-AU"/>
        </w:rPr>
      </w:pPr>
      <w:hyperlink w:anchor="_Toc14353971" w:history="1">
        <w:r w:rsidRPr="00ED59A3">
          <w:rPr>
            <w:rStyle w:val="Hyperlink"/>
            <w:noProof/>
          </w:rPr>
          <w:t>Slide 56: Key drivers of employment success - Approach</w:t>
        </w:r>
        <w:r>
          <w:rPr>
            <w:noProof/>
            <w:webHidden/>
          </w:rPr>
          <w:tab/>
        </w:r>
        <w:r>
          <w:rPr>
            <w:noProof/>
            <w:webHidden/>
          </w:rPr>
          <w:fldChar w:fldCharType="begin"/>
        </w:r>
        <w:r>
          <w:rPr>
            <w:noProof/>
            <w:webHidden/>
          </w:rPr>
          <w:instrText xml:space="preserve"> PAGEREF _Toc14353971 \h </w:instrText>
        </w:r>
        <w:r>
          <w:rPr>
            <w:noProof/>
            <w:webHidden/>
          </w:rPr>
        </w:r>
        <w:r>
          <w:rPr>
            <w:noProof/>
            <w:webHidden/>
          </w:rPr>
          <w:fldChar w:fldCharType="separate"/>
        </w:r>
        <w:r>
          <w:rPr>
            <w:noProof/>
            <w:webHidden/>
          </w:rPr>
          <w:t>19</w:t>
        </w:r>
        <w:r>
          <w:rPr>
            <w:noProof/>
            <w:webHidden/>
          </w:rPr>
          <w:fldChar w:fldCharType="end"/>
        </w:r>
      </w:hyperlink>
    </w:p>
    <w:p w14:paraId="4D772AF1" w14:textId="5FFB677A" w:rsidR="00DA43CE" w:rsidRDefault="00DA43CE">
      <w:pPr>
        <w:pStyle w:val="TOC2"/>
        <w:tabs>
          <w:tab w:val="right" w:leader="dot" w:pos="9016"/>
        </w:tabs>
        <w:rPr>
          <w:rFonts w:asciiTheme="minorHAnsi" w:eastAsiaTheme="minorEastAsia" w:hAnsiTheme="minorHAnsi"/>
          <w:noProof/>
          <w:lang w:eastAsia="en-AU"/>
        </w:rPr>
      </w:pPr>
      <w:hyperlink w:anchor="_Toc14353972" w:history="1">
        <w:r w:rsidRPr="00ED59A3">
          <w:rPr>
            <w:rStyle w:val="Hyperlink"/>
            <w:noProof/>
          </w:rPr>
          <w:t>Slide 57: Key drivers of employment success for families/carers who did not have a paid job at baseline</w:t>
        </w:r>
        <w:r>
          <w:rPr>
            <w:noProof/>
            <w:webHidden/>
          </w:rPr>
          <w:tab/>
        </w:r>
        <w:r>
          <w:rPr>
            <w:noProof/>
            <w:webHidden/>
          </w:rPr>
          <w:fldChar w:fldCharType="begin"/>
        </w:r>
        <w:r>
          <w:rPr>
            <w:noProof/>
            <w:webHidden/>
          </w:rPr>
          <w:instrText xml:space="preserve"> PAGEREF _Toc14353972 \h </w:instrText>
        </w:r>
        <w:r>
          <w:rPr>
            <w:noProof/>
            <w:webHidden/>
          </w:rPr>
        </w:r>
        <w:r>
          <w:rPr>
            <w:noProof/>
            <w:webHidden/>
          </w:rPr>
          <w:fldChar w:fldCharType="separate"/>
        </w:r>
        <w:r>
          <w:rPr>
            <w:noProof/>
            <w:webHidden/>
          </w:rPr>
          <w:t>19</w:t>
        </w:r>
        <w:r>
          <w:rPr>
            <w:noProof/>
            <w:webHidden/>
          </w:rPr>
          <w:fldChar w:fldCharType="end"/>
        </w:r>
      </w:hyperlink>
    </w:p>
    <w:p w14:paraId="6FB7374A" w14:textId="3CC875DC" w:rsidR="00DA43CE" w:rsidRDefault="00DA43CE">
      <w:pPr>
        <w:pStyle w:val="TOC2"/>
        <w:tabs>
          <w:tab w:val="right" w:leader="dot" w:pos="9016"/>
        </w:tabs>
        <w:rPr>
          <w:rFonts w:asciiTheme="minorHAnsi" w:eastAsiaTheme="minorEastAsia" w:hAnsiTheme="minorHAnsi"/>
          <w:noProof/>
          <w:lang w:eastAsia="en-AU"/>
        </w:rPr>
      </w:pPr>
      <w:hyperlink w:anchor="_Toc14353973" w:history="1">
        <w:r w:rsidRPr="00ED59A3">
          <w:rPr>
            <w:rStyle w:val="Hyperlink"/>
            <w:noProof/>
          </w:rPr>
          <w:t>Slide 58: Key drivers of employment success for families/carers who did not have a paid job at baseline</w:t>
        </w:r>
        <w:r>
          <w:rPr>
            <w:noProof/>
            <w:webHidden/>
          </w:rPr>
          <w:tab/>
        </w:r>
        <w:r>
          <w:rPr>
            <w:noProof/>
            <w:webHidden/>
          </w:rPr>
          <w:fldChar w:fldCharType="begin"/>
        </w:r>
        <w:r>
          <w:rPr>
            <w:noProof/>
            <w:webHidden/>
          </w:rPr>
          <w:instrText xml:space="preserve"> PAGEREF _Toc14353973 \h </w:instrText>
        </w:r>
        <w:r>
          <w:rPr>
            <w:noProof/>
            <w:webHidden/>
          </w:rPr>
        </w:r>
        <w:r>
          <w:rPr>
            <w:noProof/>
            <w:webHidden/>
          </w:rPr>
          <w:fldChar w:fldCharType="separate"/>
        </w:r>
        <w:r>
          <w:rPr>
            <w:noProof/>
            <w:webHidden/>
          </w:rPr>
          <w:t>19</w:t>
        </w:r>
        <w:r>
          <w:rPr>
            <w:noProof/>
            <w:webHidden/>
          </w:rPr>
          <w:fldChar w:fldCharType="end"/>
        </w:r>
      </w:hyperlink>
    </w:p>
    <w:p w14:paraId="62D1069F" w14:textId="1DDC0058" w:rsidR="00DA43CE" w:rsidRDefault="00DA43CE">
      <w:pPr>
        <w:pStyle w:val="TOC2"/>
        <w:tabs>
          <w:tab w:val="right" w:leader="dot" w:pos="9016"/>
        </w:tabs>
        <w:rPr>
          <w:rFonts w:asciiTheme="minorHAnsi" w:eastAsiaTheme="minorEastAsia" w:hAnsiTheme="minorHAnsi"/>
          <w:noProof/>
          <w:lang w:eastAsia="en-AU"/>
        </w:rPr>
      </w:pPr>
      <w:hyperlink w:anchor="_Toc14353974" w:history="1">
        <w:r w:rsidRPr="00ED59A3">
          <w:rPr>
            <w:rStyle w:val="Hyperlink"/>
            <w:noProof/>
          </w:rPr>
          <w:t>Slide 59: Finding employment at review - family/carer ability to access services and supports</w:t>
        </w:r>
        <w:r>
          <w:rPr>
            <w:noProof/>
            <w:webHidden/>
          </w:rPr>
          <w:tab/>
        </w:r>
        <w:r>
          <w:rPr>
            <w:noProof/>
            <w:webHidden/>
          </w:rPr>
          <w:fldChar w:fldCharType="begin"/>
        </w:r>
        <w:r>
          <w:rPr>
            <w:noProof/>
            <w:webHidden/>
          </w:rPr>
          <w:instrText xml:space="preserve"> PAGEREF _Toc14353974 \h </w:instrText>
        </w:r>
        <w:r>
          <w:rPr>
            <w:noProof/>
            <w:webHidden/>
          </w:rPr>
        </w:r>
        <w:r>
          <w:rPr>
            <w:noProof/>
            <w:webHidden/>
          </w:rPr>
          <w:fldChar w:fldCharType="separate"/>
        </w:r>
        <w:r>
          <w:rPr>
            <w:noProof/>
            <w:webHidden/>
          </w:rPr>
          <w:t>20</w:t>
        </w:r>
        <w:r>
          <w:rPr>
            <w:noProof/>
            <w:webHidden/>
          </w:rPr>
          <w:fldChar w:fldCharType="end"/>
        </w:r>
      </w:hyperlink>
    </w:p>
    <w:p w14:paraId="07F7DB9B" w14:textId="11A19FF3" w:rsidR="00DA43CE" w:rsidRDefault="00DA43CE">
      <w:pPr>
        <w:pStyle w:val="TOC2"/>
        <w:tabs>
          <w:tab w:val="right" w:leader="dot" w:pos="9016"/>
        </w:tabs>
        <w:rPr>
          <w:rFonts w:asciiTheme="minorHAnsi" w:eastAsiaTheme="minorEastAsia" w:hAnsiTheme="minorHAnsi"/>
          <w:noProof/>
          <w:lang w:eastAsia="en-AU"/>
        </w:rPr>
      </w:pPr>
      <w:hyperlink w:anchor="_Toc14353975" w:history="1">
        <w:r w:rsidRPr="00ED59A3">
          <w:rPr>
            <w:rStyle w:val="Hyperlink"/>
            <w:noProof/>
          </w:rPr>
          <w:t>Slide 60: Finding employment at review - participant streaming type and access decision</w:t>
        </w:r>
        <w:r>
          <w:rPr>
            <w:noProof/>
            <w:webHidden/>
          </w:rPr>
          <w:tab/>
        </w:r>
        <w:r>
          <w:rPr>
            <w:noProof/>
            <w:webHidden/>
          </w:rPr>
          <w:fldChar w:fldCharType="begin"/>
        </w:r>
        <w:r>
          <w:rPr>
            <w:noProof/>
            <w:webHidden/>
          </w:rPr>
          <w:instrText xml:space="preserve"> PAGEREF _Toc14353975 \h </w:instrText>
        </w:r>
        <w:r>
          <w:rPr>
            <w:noProof/>
            <w:webHidden/>
          </w:rPr>
        </w:r>
        <w:r>
          <w:rPr>
            <w:noProof/>
            <w:webHidden/>
          </w:rPr>
          <w:fldChar w:fldCharType="separate"/>
        </w:r>
        <w:r>
          <w:rPr>
            <w:noProof/>
            <w:webHidden/>
          </w:rPr>
          <w:t>20</w:t>
        </w:r>
        <w:r>
          <w:rPr>
            <w:noProof/>
            <w:webHidden/>
          </w:rPr>
          <w:fldChar w:fldCharType="end"/>
        </w:r>
      </w:hyperlink>
    </w:p>
    <w:p w14:paraId="4AB0749E" w14:textId="3A7EAB2D" w:rsidR="00DA43CE" w:rsidRDefault="00DA43CE">
      <w:pPr>
        <w:pStyle w:val="TOC2"/>
        <w:tabs>
          <w:tab w:val="right" w:leader="dot" w:pos="9016"/>
        </w:tabs>
        <w:rPr>
          <w:rFonts w:asciiTheme="minorHAnsi" w:eastAsiaTheme="minorEastAsia" w:hAnsiTheme="minorHAnsi"/>
          <w:noProof/>
          <w:lang w:eastAsia="en-AU"/>
        </w:rPr>
      </w:pPr>
      <w:hyperlink w:anchor="_Toc14353976" w:history="1">
        <w:r w:rsidRPr="00ED59A3">
          <w:rPr>
            <w:rStyle w:val="Hyperlink"/>
            <w:noProof/>
          </w:rPr>
          <w:t>Slide 61: Finding employment at review - family/carer want to work more</w:t>
        </w:r>
        <w:r>
          <w:rPr>
            <w:noProof/>
            <w:webHidden/>
          </w:rPr>
          <w:tab/>
        </w:r>
        <w:r>
          <w:rPr>
            <w:noProof/>
            <w:webHidden/>
          </w:rPr>
          <w:fldChar w:fldCharType="begin"/>
        </w:r>
        <w:r>
          <w:rPr>
            <w:noProof/>
            <w:webHidden/>
          </w:rPr>
          <w:instrText xml:space="preserve"> PAGEREF _Toc14353976 \h </w:instrText>
        </w:r>
        <w:r>
          <w:rPr>
            <w:noProof/>
            <w:webHidden/>
          </w:rPr>
        </w:r>
        <w:r>
          <w:rPr>
            <w:noProof/>
            <w:webHidden/>
          </w:rPr>
          <w:fldChar w:fldCharType="separate"/>
        </w:r>
        <w:r>
          <w:rPr>
            <w:noProof/>
            <w:webHidden/>
          </w:rPr>
          <w:t>20</w:t>
        </w:r>
        <w:r>
          <w:rPr>
            <w:noProof/>
            <w:webHidden/>
          </w:rPr>
          <w:fldChar w:fldCharType="end"/>
        </w:r>
      </w:hyperlink>
    </w:p>
    <w:p w14:paraId="6E76AAC9" w14:textId="1E8A959B" w:rsidR="00DA43CE" w:rsidRDefault="00DA43CE">
      <w:pPr>
        <w:pStyle w:val="TOC2"/>
        <w:tabs>
          <w:tab w:val="right" w:leader="dot" w:pos="9016"/>
        </w:tabs>
        <w:rPr>
          <w:rFonts w:asciiTheme="minorHAnsi" w:eastAsiaTheme="minorEastAsia" w:hAnsiTheme="minorHAnsi"/>
          <w:noProof/>
          <w:lang w:eastAsia="en-AU"/>
        </w:rPr>
      </w:pPr>
      <w:hyperlink w:anchor="_Toc14353977" w:history="1">
        <w:r w:rsidRPr="00ED59A3">
          <w:rPr>
            <w:rStyle w:val="Hyperlink"/>
            <w:noProof/>
          </w:rPr>
          <w:t>Slide 62: Finding employment at review – participant’s plan management type</w:t>
        </w:r>
        <w:r>
          <w:rPr>
            <w:noProof/>
            <w:webHidden/>
          </w:rPr>
          <w:tab/>
        </w:r>
        <w:r>
          <w:rPr>
            <w:noProof/>
            <w:webHidden/>
          </w:rPr>
          <w:fldChar w:fldCharType="begin"/>
        </w:r>
        <w:r>
          <w:rPr>
            <w:noProof/>
            <w:webHidden/>
          </w:rPr>
          <w:instrText xml:space="preserve"> PAGEREF _Toc14353977 \h </w:instrText>
        </w:r>
        <w:r>
          <w:rPr>
            <w:noProof/>
            <w:webHidden/>
          </w:rPr>
        </w:r>
        <w:r>
          <w:rPr>
            <w:noProof/>
            <w:webHidden/>
          </w:rPr>
          <w:fldChar w:fldCharType="separate"/>
        </w:r>
        <w:r>
          <w:rPr>
            <w:noProof/>
            <w:webHidden/>
          </w:rPr>
          <w:t>21</w:t>
        </w:r>
        <w:r>
          <w:rPr>
            <w:noProof/>
            <w:webHidden/>
          </w:rPr>
          <w:fldChar w:fldCharType="end"/>
        </w:r>
      </w:hyperlink>
    </w:p>
    <w:p w14:paraId="5982D59B" w14:textId="1AC3BEEA" w:rsidR="00DA43CE" w:rsidRDefault="00DA43CE">
      <w:pPr>
        <w:pStyle w:val="TOC2"/>
        <w:tabs>
          <w:tab w:val="right" w:leader="dot" w:pos="9016"/>
        </w:tabs>
        <w:rPr>
          <w:rFonts w:asciiTheme="minorHAnsi" w:eastAsiaTheme="minorEastAsia" w:hAnsiTheme="minorHAnsi"/>
          <w:noProof/>
          <w:lang w:eastAsia="en-AU"/>
        </w:rPr>
      </w:pPr>
      <w:hyperlink w:anchor="_Toc14353978" w:history="1">
        <w:r w:rsidRPr="00ED59A3">
          <w:rPr>
            <w:rStyle w:val="Hyperlink"/>
            <w:noProof/>
          </w:rPr>
          <w:t>Slide 63: Finding employment at review - Health status of family and carers</w:t>
        </w:r>
        <w:r>
          <w:rPr>
            <w:noProof/>
            <w:webHidden/>
          </w:rPr>
          <w:tab/>
        </w:r>
        <w:r>
          <w:rPr>
            <w:noProof/>
            <w:webHidden/>
          </w:rPr>
          <w:fldChar w:fldCharType="begin"/>
        </w:r>
        <w:r>
          <w:rPr>
            <w:noProof/>
            <w:webHidden/>
          </w:rPr>
          <w:instrText xml:space="preserve"> PAGEREF _Toc14353978 \h </w:instrText>
        </w:r>
        <w:r>
          <w:rPr>
            <w:noProof/>
            <w:webHidden/>
          </w:rPr>
        </w:r>
        <w:r>
          <w:rPr>
            <w:noProof/>
            <w:webHidden/>
          </w:rPr>
          <w:fldChar w:fldCharType="separate"/>
        </w:r>
        <w:r>
          <w:rPr>
            <w:noProof/>
            <w:webHidden/>
          </w:rPr>
          <w:t>21</w:t>
        </w:r>
        <w:r>
          <w:rPr>
            <w:noProof/>
            <w:webHidden/>
          </w:rPr>
          <w:fldChar w:fldCharType="end"/>
        </w:r>
      </w:hyperlink>
    </w:p>
    <w:p w14:paraId="0B498D6E" w14:textId="2812EC1E" w:rsidR="00DA43CE" w:rsidRDefault="00DA43CE">
      <w:pPr>
        <w:pStyle w:val="TOC2"/>
        <w:tabs>
          <w:tab w:val="right" w:leader="dot" w:pos="9016"/>
        </w:tabs>
        <w:rPr>
          <w:rFonts w:asciiTheme="minorHAnsi" w:eastAsiaTheme="minorEastAsia" w:hAnsiTheme="minorHAnsi"/>
          <w:noProof/>
          <w:lang w:eastAsia="en-AU"/>
        </w:rPr>
      </w:pPr>
      <w:hyperlink w:anchor="_Toc14353979" w:history="1">
        <w:r w:rsidRPr="00ED59A3">
          <w:rPr>
            <w:rStyle w:val="Hyperlink"/>
            <w:noProof/>
          </w:rPr>
          <w:t>Slide 64: Key drivers of employment success for families/carers who had a paid job at baseline</w:t>
        </w:r>
        <w:r>
          <w:rPr>
            <w:noProof/>
            <w:webHidden/>
          </w:rPr>
          <w:tab/>
        </w:r>
        <w:r>
          <w:rPr>
            <w:noProof/>
            <w:webHidden/>
          </w:rPr>
          <w:fldChar w:fldCharType="begin"/>
        </w:r>
        <w:r>
          <w:rPr>
            <w:noProof/>
            <w:webHidden/>
          </w:rPr>
          <w:instrText xml:space="preserve"> PAGEREF _Toc14353979 \h </w:instrText>
        </w:r>
        <w:r>
          <w:rPr>
            <w:noProof/>
            <w:webHidden/>
          </w:rPr>
        </w:r>
        <w:r>
          <w:rPr>
            <w:noProof/>
            <w:webHidden/>
          </w:rPr>
          <w:fldChar w:fldCharType="separate"/>
        </w:r>
        <w:r>
          <w:rPr>
            <w:noProof/>
            <w:webHidden/>
          </w:rPr>
          <w:t>21</w:t>
        </w:r>
        <w:r>
          <w:rPr>
            <w:noProof/>
            <w:webHidden/>
          </w:rPr>
          <w:fldChar w:fldCharType="end"/>
        </w:r>
      </w:hyperlink>
    </w:p>
    <w:p w14:paraId="1FC35A94" w14:textId="4E1CDDC5" w:rsidR="00DA43CE" w:rsidRDefault="00DA43CE">
      <w:pPr>
        <w:pStyle w:val="TOC2"/>
        <w:tabs>
          <w:tab w:val="right" w:leader="dot" w:pos="9016"/>
        </w:tabs>
        <w:rPr>
          <w:rFonts w:asciiTheme="minorHAnsi" w:eastAsiaTheme="minorEastAsia" w:hAnsiTheme="minorHAnsi"/>
          <w:noProof/>
          <w:lang w:eastAsia="en-AU"/>
        </w:rPr>
      </w:pPr>
      <w:hyperlink w:anchor="_Toc14353980" w:history="1">
        <w:r w:rsidRPr="00ED59A3">
          <w:rPr>
            <w:rStyle w:val="Hyperlink"/>
            <w:noProof/>
          </w:rPr>
          <w:t>Slide 65: Key drivers of employment success for families/carers who had a paid job at baseline</w:t>
        </w:r>
        <w:r>
          <w:rPr>
            <w:noProof/>
            <w:webHidden/>
          </w:rPr>
          <w:tab/>
        </w:r>
        <w:r>
          <w:rPr>
            <w:noProof/>
            <w:webHidden/>
          </w:rPr>
          <w:fldChar w:fldCharType="begin"/>
        </w:r>
        <w:r>
          <w:rPr>
            <w:noProof/>
            <w:webHidden/>
          </w:rPr>
          <w:instrText xml:space="preserve"> PAGEREF _Toc14353980 \h </w:instrText>
        </w:r>
        <w:r>
          <w:rPr>
            <w:noProof/>
            <w:webHidden/>
          </w:rPr>
        </w:r>
        <w:r>
          <w:rPr>
            <w:noProof/>
            <w:webHidden/>
          </w:rPr>
          <w:fldChar w:fldCharType="separate"/>
        </w:r>
        <w:r>
          <w:rPr>
            <w:noProof/>
            <w:webHidden/>
          </w:rPr>
          <w:t>22</w:t>
        </w:r>
        <w:r>
          <w:rPr>
            <w:noProof/>
            <w:webHidden/>
          </w:rPr>
          <w:fldChar w:fldCharType="end"/>
        </w:r>
      </w:hyperlink>
    </w:p>
    <w:p w14:paraId="24769A49" w14:textId="2F8A6A86" w:rsidR="00DA43CE" w:rsidRDefault="00DA43CE">
      <w:pPr>
        <w:pStyle w:val="TOC2"/>
        <w:tabs>
          <w:tab w:val="right" w:leader="dot" w:pos="9016"/>
        </w:tabs>
        <w:rPr>
          <w:rFonts w:asciiTheme="minorHAnsi" w:eastAsiaTheme="minorEastAsia" w:hAnsiTheme="minorHAnsi"/>
          <w:noProof/>
          <w:lang w:eastAsia="en-AU"/>
        </w:rPr>
      </w:pPr>
      <w:hyperlink w:anchor="_Toc14353981" w:history="1">
        <w:r w:rsidRPr="00ED59A3">
          <w:rPr>
            <w:rStyle w:val="Hyperlink"/>
            <w:noProof/>
          </w:rPr>
          <w:t>Slide 66: Maintaining employment at review - Hours and type of employment</w:t>
        </w:r>
        <w:r>
          <w:rPr>
            <w:noProof/>
            <w:webHidden/>
          </w:rPr>
          <w:tab/>
        </w:r>
        <w:r>
          <w:rPr>
            <w:noProof/>
            <w:webHidden/>
          </w:rPr>
          <w:fldChar w:fldCharType="begin"/>
        </w:r>
        <w:r>
          <w:rPr>
            <w:noProof/>
            <w:webHidden/>
          </w:rPr>
          <w:instrText xml:space="preserve"> PAGEREF _Toc14353981 \h </w:instrText>
        </w:r>
        <w:r>
          <w:rPr>
            <w:noProof/>
            <w:webHidden/>
          </w:rPr>
        </w:r>
        <w:r>
          <w:rPr>
            <w:noProof/>
            <w:webHidden/>
          </w:rPr>
          <w:fldChar w:fldCharType="separate"/>
        </w:r>
        <w:r>
          <w:rPr>
            <w:noProof/>
            <w:webHidden/>
          </w:rPr>
          <w:t>22</w:t>
        </w:r>
        <w:r>
          <w:rPr>
            <w:noProof/>
            <w:webHidden/>
          </w:rPr>
          <w:fldChar w:fldCharType="end"/>
        </w:r>
      </w:hyperlink>
    </w:p>
    <w:p w14:paraId="7509B709" w14:textId="347B0C1C" w:rsidR="00DA43CE" w:rsidRDefault="00DA43CE">
      <w:pPr>
        <w:pStyle w:val="TOC2"/>
        <w:tabs>
          <w:tab w:val="right" w:leader="dot" w:pos="9016"/>
        </w:tabs>
        <w:rPr>
          <w:rFonts w:asciiTheme="minorHAnsi" w:eastAsiaTheme="minorEastAsia" w:hAnsiTheme="minorHAnsi"/>
          <w:noProof/>
          <w:lang w:eastAsia="en-AU"/>
        </w:rPr>
      </w:pPr>
      <w:hyperlink w:anchor="_Toc14353982" w:history="1">
        <w:r w:rsidRPr="00ED59A3">
          <w:rPr>
            <w:rStyle w:val="Hyperlink"/>
            <w:noProof/>
          </w:rPr>
          <w:t xml:space="preserve">Slide 67: </w:t>
        </w:r>
        <w:r w:rsidRPr="00ED59A3">
          <w:rPr>
            <w:rStyle w:val="Hyperlink"/>
            <w:rFonts w:hAnsi="Times New Roman" w:cs="Arial"/>
            <w:noProof/>
            <w:kern w:val="24"/>
          </w:rPr>
          <w:t>NDIS www.ndis.gov.au</w:t>
        </w:r>
        <w:r>
          <w:rPr>
            <w:noProof/>
            <w:webHidden/>
          </w:rPr>
          <w:tab/>
        </w:r>
        <w:r>
          <w:rPr>
            <w:noProof/>
            <w:webHidden/>
          </w:rPr>
          <w:fldChar w:fldCharType="begin"/>
        </w:r>
        <w:r>
          <w:rPr>
            <w:noProof/>
            <w:webHidden/>
          </w:rPr>
          <w:instrText xml:space="preserve"> PAGEREF _Toc14353982 \h </w:instrText>
        </w:r>
        <w:r>
          <w:rPr>
            <w:noProof/>
            <w:webHidden/>
          </w:rPr>
        </w:r>
        <w:r>
          <w:rPr>
            <w:noProof/>
            <w:webHidden/>
          </w:rPr>
          <w:fldChar w:fldCharType="separate"/>
        </w:r>
        <w:r>
          <w:rPr>
            <w:noProof/>
            <w:webHidden/>
          </w:rPr>
          <w:t>22</w:t>
        </w:r>
        <w:r>
          <w:rPr>
            <w:noProof/>
            <w:webHidden/>
          </w:rPr>
          <w:fldChar w:fldCharType="end"/>
        </w:r>
      </w:hyperlink>
    </w:p>
    <w:p w14:paraId="2D1C9FB4" w14:textId="31463169" w:rsidR="00410810" w:rsidRDefault="00410810" w:rsidP="00410810">
      <w:r>
        <w:fldChar w:fldCharType="end"/>
      </w:r>
    </w:p>
    <w:p w14:paraId="00327C33" w14:textId="77777777" w:rsidR="000B1117" w:rsidRDefault="000B1117">
      <w:pPr>
        <w:spacing w:after="200" w:line="276" w:lineRule="auto"/>
        <w:rPr>
          <w:rFonts w:eastAsiaTheme="majorEastAsia" w:cstheme="majorBidi"/>
          <w:b/>
          <w:bCs/>
          <w:color w:val="6A2875"/>
          <w:sz w:val="28"/>
          <w:szCs w:val="28"/>
        </w:rPr>
      </w:pPr>
      <w:r>
        <w:br w:type="page"/>
      </w:r>
    </w:p>
    <w:p w14:paraId="0D163262" w14:textId="77777777" w:rsidR="009A3E4B" w:rsidRPr="00272BEF" w:rsidRDefault="009A3E4B" w:rsidP="009A3E4B">
      <w:pPr>
        <w:pStyle w:val="Heading2"/>
      </w:pPr>
      <w:bookmarkStart w:id="6" w:name="_Toc14353916"/>
      <w:r>
        <w:lastRenderedPageBreak/>
        <w:t xml:space="preserve">Slide </w:t>
      </w:r>
      <w:r w:rsidRPr="00272BEF">
        <w:t>1: Employment outcomes 2017-18 NDIS participants, their families and carers</w:t>
      </w:r>
      <w:bookmarkEnd w:id="6"/>
    </w:p>
    <w:p w14:paraId="7F5923EA" w14:textId="77777777" w:rsidR="009A3E4B" w:rsidRPr="00272BEF" w:rsidRDefault="009A3E4B" w:rsidP="009A3E4B">
      <w:pPr>
        <w:pStyle w:val="Heading2"/>
        <w:rPr>
          <w:color w:val="804E88"/>
          <w:sz w:val="24"/>
        </w:rPr>
      </w:pPr>
      <w:bookmarkStart w:id="7" w:name="_Toc14246960"/>
      <w:bookmarkStart w:id="8" w:name="_Toc14353917"/>
      <w:r>
        <w:t xml:space="preserve">Slide </w:t>
      </w:r>
      <w:r w:rsidRPr="00604221">
        <w:t>2: Employment outcomes for NDIS participants</w:t>
      </w:r>
      <w:bookmarkEnd w:id="7"/>
      <w:bookmarkEnd w:id="8"/>
    </w:p>
    <w:p w14:paraId="25DFF0B9" w14:textId="0F54E7CF" w:rsidR="009A3E4B" w:rsidRDefault="009A3E4B" w:rsidP="009A3E4B">
      <w:r w:rsidRPr="009A3E4B">
        <w:t>The following section discusses employment outcomes for NDIS participants.</w:t>
      </w:r>
    </w:p>
    <w:p w14:paraId="0516D7A0" w14:textId="77777777" w:rsidR="009A3E4B" w:rsidRPr="00FB77AE" w:rsidRDefault="009A3E4B" w:rsidP="009A3E4B">
      <w:pPr>
        <w:pStyle w:val="Heading2"/>
      </w:pPr>
      <w:bookmarkStart w:id="9" w:name="_Toc14246961"/>
      <w:bookmarkStart w:id="10" w:name="_Toc14353918"/>
      <w:r w:rsidRPr="00FB77AE">
        <w:t>Slide 3: Outline</w:t>
      </w:r>
      <w:bookmarkEnd w:id="9"/>
      <w:bookmarkEnd w:id="10"/>
    </w:p>
    <w:p w14:paraId="48E13B3D" w14:textId="77777777" w:rsidR="009A3E4B" w:rsidRPr="00272BEF" w:rsidRDefault="009A3E4B" w:rsidP="009A3E4B">
      <w:r w:rsidRPr="00272BEF">
        <w:t>The following are the key areas that will be discussed in this report:</w:t>
      </w:r>
    </w:p>
    <w:p w14:paraId="03AA68BB" w14:textId="008226F4" w:rsidR="009A3E4B" w:rsidRPr="00272BEF" w:rsidRDefault="009A3E4B" w:rsidP="009A3E4B">
      <w:pPr>
        <w:pStyle w:val="ListParagraph"/>
        <w:numPr>
          <w:ilvl w:val="0"/>
          <w:numId w:val="86"/>
        </w:numPr>
      </w:pPr>
      <w:r w:rsidRPr="00272BEF">
        <w:t>Employment experience of Australians with disability and benefits of increased employment</w:t>
      </w:r>
    </w:p>
    <w:p w14:paraId="3B80920B" w14:textId="20922E7D" w:rsidR="009A3E4B" w:rsidRPr="00272BEF" w:rsidRDefault="009A3E4B" w:rsidP="009A3E4B">
      <w:pPr>
        <w:pStyle w:val="ListParagraph"/>
        <w:numPr>
          <w:ilvl w:val="0"/>
          <w:numId w:val="86"/>
        </w:numPr>
      </w:pPr>
      <w:r w:rsidRPr="00272BEF">
        <w:t>Employment experience of NDIS participants</w:t>
      </w:r>
      <w:r>
        <w:t xml:space="preserve"> at</w:t>
      </w:r>
      <w:r w:rsidRPr="00272BEF">
        <w:t xml:space="preserve"> baseline</w:t>
      </w:r>
    </w:p>
    <w:p w14:paraId="4E6F8E1B" w14:textId="7571031B" w:rsidR="009A3E4B" w:rsidRPr="00272BEF" w:rsidRDefault="009A3E4B" w:rsidP="009A3E4B">
      <w:pPr>
        <w:pStyle w:val="ListParagraph"/>
        <w:numPr>
          <w:ilvl w:val="0"/>
          <w:numId w:val="86"/>
        </w:numPr>
      </w:pPr>
      <w:r w:rsidRPr="00272BEF">
        <w:t>NDIS participants and the Disability Support Pension: preliminary data linkage results</w:t>
      </w:r>
    </w:p>
    <w:p w14:paraId="28AB810B" w14:textId="58B59A6C" w:rsidR="009A3E4B" w:rsidRPr="00272BEF" w:rsidRDefault="009A3E4B" w:rsidP="009A3E4B">
      <w:pPr>
        <w:pStyle w:val="ListParagraph"/>
        <w:numPr>
          <w:ilvl w:val="0"/>
          <w:numId w:val="86"/>
        </w:numPr>
      </w:pPr>
      <w:r w:rsidRPr="00272BEF">
        <w:t>Employment goals in participant plans</w:t>
      </w:r>
    </w:p>
    <w:p w14:paraId="568257AA" w14:textId="6536A2AE" w:rsidR="009A3E4B" w:rsidRPr="00272BEF" w:rsidRDefault="009A3E4B" w:rsidP="009A3E4B">
      <w:pPr>
        <w:pStyle w:val="ListParagraph"/>
        <w:numPr>
          <w:ilvl w:val="0"/>
          <w:numId w:val="86"/>
        </w:numPr>
      </w:pPr>
      <w:r w:rsidRPr="00272BEF">
        <w:t>Employment experience of NDIS participants: trend</w:t>
      </w:r>
    </w:p>
    <w:p w14:paraId="6169F856" w14:textId="707A6EDC" w:rsidR="009A3E4B" w:rsidRPr="00272BEF" w:rsidRDefault="009A3E4B" w:rsidP="009A3E4B">
      <w:pPr>
        <w:pStyle w:val="ListParagraph"/>
        <w:numPr>
          <w:ilvl w:val="0"/>
          <w:numId w:val="86"/>
        </w:numPr>
      </w:pPr>
      <w:r w:rsidRPr="00272BEF">
        <w:t>Key drivers of employment outcomes for NDIS participants</w:t>
      </w:r>
    </w:p>
    <w:p w14:paraId="3968E471" w14:textId="0F647BFC" w:rsidR="009A3E4B" w:rsidRPr="00272BEF" w:rsidRDefault="009A3E4B" w:rsidP="009A3E4B">
      <w:pPr>
        <w:pStyle w:val="ListParagraph"/>
        <w:numPr>
          <w:ilvl w:val="0"/>
          <w:numId w:val="86"/>
        </w:numPr>
      </w:pPr>
      <w:r w:rsidRPr="00272BEF">
        <w:t>Provider analysis by participant employment outcomes</w:t>
      </w:r>
    </w:p>
    <w:p w14:paraId="7713964E" w14:textId="77777777" w:rsidR="009A3E4B" w:rsidRPr="00016DF9" w:rsidRDefault="009A3E4B" w:rsidP="009A3E4B">
      <w:pPr>
        <w:pStyle w:val="Heading2"/>
        <w:rPr>
          <w:color w:val="auto"/>
          <w:sz w:val="24"/>
        </w:rPr>
      </w:pPr>
      <w:bookmarkStart w:id="11" w:name="_Toc14246962"/>
      <w:bookmarkStart w:id="12" w:name="_Toc14353919"/>
      <w:r>
        <w:t>Slide</w:t>
      </w:r>
      <w:r w:rsidRPr="00DF0B0A">
        <w:t xml:space="preserve"> 4: Employment experience of Australians with disability</w:t>
      </w:r>
      <w:bookmarkEnd w:id="11"/>
      <w:bookmarkEnd w:id="12"/>
    </w:p>
    <w:p w14:paraId="158997B4" w14:textId="2408D40D" w:rsidR="005D2AF1" w:rsidRPr="00272BEF" w:rsidRDefault="005D2AF1" w:rsidP="005D2AF1">
      <w:r w:rsidRPr="00272BEF">
        <w:t>Australians with disability experience considerably poorer employment outcomes, relative to Australians without disability</w:t>
      </w:r>
      <w:r>
        <w:t xml:space="preserve"> and other OECD countries</w:t>
      </w:r>
      <w:r w:rsidRPr="00272BEF">
        <w:t>.</w:t>
      </w:r>
      <w:r>
        <w:rPr>
          <w:rStyle w:val="FootnoteReference"/>
        </w:rPr>
        <w:footnoteReference w:id="1"/>
      </w:r>
    </w:p>
    <w:p w14:paraId="457A1942" w14:textId="04DD4D5E" w:rsidR="009A3E4B" w:rsidRPr="00272BEF" w:rsidRDefault="009A3E4B" w:rsidP="009A3E4B">
      <w:r w:rsidRPr="00272BEF">
        <w:t>A graph displays the differences in labour force participation rate, employment to population ratio and unemployment rate between people with disability and people without disability.</w:t>
      </w:r>
    </w:p>
    <w:p w14:paraId="2BFA6026" w14:textId="77777777" w:rsidR="009A3E4B" w:rsidRPr="00272BEF" w:rsidRDefault="009A3E4B" w:rsidP="009A3E4B">
      <w:r w:rsidRPr="00272BEF">
        <w:t>For other OECD countries:</w:t>
      </w:r>
    </w:p>
    <w:p w14:paraId="3F4764C0" w14:textId="77777777" w:rsidR="009A3E4B" w:rsidRPr="00272BEF" w:rsidRDefault="009A3E4B" w:rsidP="00BD3597">
      <w:pPr>
        <w:pStyle w:val="ListParagraph"/>
        <w:numPr>
          <w:ilvl w:val="0"/>
          <w:numId w:val="87"/>
        </w:numPr>
      </w:pPr>
      <w:r w:rsidRPr="00272BEF">
        <w:t>44% is the OECD average employment to population ratio for people with disability</w:t>
      </w:r>
    </w:p>
    <w:p w14:paraId="30F0F683" w14:textId="77777777" w:rsidR="009A3E4B" w:rsidRPr="00272BEF" w:rsidRDefault="009A3E4B" w:rsidP="00BD3597">
      <w:pPr>
        <w:pStyle w:val="ListParagraph"/>
        <w:numPr>
          <w:ilvl w:val="0"/>
          <w:numId w:val="87"/>
        </w:numPr>
      </w:pPr>
      <w:r w:rsidRPr="00272BEF">
        <w:t>39.8% is the Australian employment to population ratio for people with disability</w:t>
      </w:r>
    </w:p>
    <w:p w14:paraId="272DD47C" w14:textId="77777777" w:rsidR="009A3E4B" w:rsidRPr="00272BEF" w:rsidRDefault="009A3E4B" w:rsidP="00BD3597">
      <w:pPr>
        <w:pStyle w:val="ListParagraph"/>
        <w:numPr>
          <w:ilvl w:val="0"/>
          <w:numId w:val="87"/>
        </w:numPr>
      </w:pPr>
      <w:r w:rsidRPr="00272BEF">
        <w:t>21 out of 29 is Australia’s ranking amongst OECD countries on this measure</w:t>
      </w:r>
    </w:p>
    <w:p w14:paraId="21C37C5F" w14:textId="77777777" w:rsidR="009A3E4B" w:rsidRPr="00DF0B0A" w:rsidRDefault="009A3E4B" w:rsidP="009A3E4B">
      <w:pPr>
        <w:pStyle w:val="Heading2"/>
      </w:pPr>
      <w:bookmarkStart w:id="13" w:name="_Toc14246963"/>
      <w:bookmarkStart w:id="14" w:name="_Toc14353920"/>
      <w:r>
        <w:t>Slide</w:t>
      </w:r>
      <w:r w:rsidRPr="00DF0B0A">
        <w:t xml:space="preserve"> 5: Economic benefits of increased employment for Australians with disability</w:t>
      </w:r>
      <w:bookmarkEnd w:id="13"/>
      <w:bookmarkEnd w:id="14"/>
    </w:p>
    <w:p w14:paraId="63870B7F" w14:textId="77777777" w:rsidR="009A3E4B" w:rsidRPr="00272BEF" w:rsidRDefault="009A3E4B" w:rsidP="009A3E4B">
      <w:r w:rsidRPr="00272BEF">
        <w:t>Modelling of the economic impact of lifting employment levels to the OECD average for people with disability (including increased participation of carers) suggests that by June 2030:</w:t>
      </w:r>
    </w:p>
    <w:p w14:paraId="4ED0EFD0" w14:textId="77777777" w:rsidR="009A3E4B" w:rsidRPr="00272BEF" w:rsidRDefault="009A3E4B" w:rsidP="00BD3597">
      <w:pPr>
        <w:pStyle w:val="ListParagraph"/>
        <w:numPr>
          <w:ilvl w:val="0"/>
          <w:numId w:val="88"/>
        </w:numPr>
      </w:pPr>
      <w:r w:rsidRPr="00272BEF">
        <w:t>117,000 more Australians would be employed (people with disability and their carers) – an increase of about 0.8%</w:t>
      </w:r>
    </w:p>
    <w:p w14:paraId="408CCEE3" w14:textId="77777777" w:rsidR="009A3E4B" w:rsidRPr="00272BEF" w:rsidRDefault="009A3E4B" w:rsidP="00BD3597">
      <w:pPr>
        <w:pStyle w:val="ListParagraph"/>
        <w:numPr>
          <w:ilvl w:val="0"/>
          <w:numId w:val="88"/>
        </w:numPr>
      </w:pPr>
      <w:r w:rsidRPr="00272BEF">
        <w:t>$11.9 billion would be added to real GDP – an increase of around 0.5%</w:t>
      </w:r>
    </w:p>
    <w:p w14:paraId="74E9A983" w14:textId="77777777" w:rsidR="009A3E4B" w:rsidRPr="009A3E4B" w:rsidRDefault="009A3E4B" w:rsidP="009A3E4B">
      <w:r w:rsidRPr="009A3E4B">
        <w:t>These estimates are broadly in line with the original Productivity Commission (PC) estimates of the economic impact of the NDIS.</w:t>
      </w:r>
    </w:p>
    <w:p w14:paraId="44C0262B" w14:textId="77777777" w:rsidR="00452100" w:rsidRPr="00DF0B0A" w:rsidRDefault="00452100" w:rsidP="00452100">
      <w:pPr>
        <w:pStyle w:val="Heading2"/>
      </w:pPr>
      <w:bookmarkStart w:id="15" w:name="_Toc14246964"/>
      <w:bookmarkStart w:id="16" w:name="_Toc14353921"/>
      <w:r>
        <w:t>Slide</w:t>
      </w:r>
      <w:r w:rsidRPr="00DF0B0A">
        <w:t xml:space="preserve"> 6: Employment experience of NDIS participants (Baseline)</w:t>
      </w:r>
      <w:bookmarkEnd w:id="15"/>
      <w:bookmarkEnd w:id="16"/>
    </w:p>
    <w:p w14:paraId="1A852141" w14:textId="6AC43BC9" w:rsidR="00452100" w:rsidRPr="00272BEF" w:rsidRDefault="00452100" w:rsidP="00452100">
      <w:r w:rsidRPr="00272BEF">
        <w:t xml:space="preserve">A chart displays the percentage of participants in a paid job at entry to the scheme </w:t>
      </w:r>
      <w:r w:rsidR="005D2AF1">
        <w:t>for</w:t>
      </w:r>
      <w:r w:rsidRPr="00272BEF">
        <w:t xml:space="preserve"> age groups</w:t>
      </w:r>
      <w:r w:rsidR="005D2AF1">
        <w:t xml:space="preserve"> 15 to 24, 25 and over, and 15 and over</w:t>
      </w:r>
      <w:r w:rsidRPr="00272BEF">
        <w:t>.</w:t>
      </w:r>
    </w:p>
    <w:p w14:paraId="00598818" w14:textId="77777777" w:rsidR="00452100" w:rsidRPr="00272BEF" w:rsidRDefault="00452100" w:rsidP="00452100">
      <w:r w:rsidRPr="00272BEF">
        <w:lastRenderedPageBreak/>
        <w:t xml:space="preserve">Overall, 23% of transition participants said they were working in a paid job at entry to the Scheme. </w:t>
      </w:r>
    </w:p>
    <w:p w14:paraId="05C6AD28" w14:textId="77777777" w:rsidR="00452100" w:rsidRPr="00272BEF" w:rsidRDefault="00452100" w:rsidP="00452100">
      <w:r w:rsidRPr="00272BEF">
        <w:t xml:space="preserve">Comparing younger and older adults: </w:t>
      </w:r>
    </w:p>
    <w:p w14:paraId="31ED7FFF" w14:textId="073BDF3F" w:rsidR="00452100" w:rsidRPr="00272BEF" w:rsidRDefault="00452100" w:rsidP="00BD3597">
      <w:pPr>
        <w:pStyle w:val="ListParagraph"/>
        <w:numPr>
          <w:ilvl w:val="0"/>
          <w:numId w:val="89"/>
        </w:numPr>
      </w:pPr>
      <w:r w:rsidRPr="00272BEF">
        <w:t xml:space="preserve">17% of 15 to 24 year olds said they were working in a paid job </w:t>
      </w:r>
    </w:p>
    <w:p w14:paraId="7F541EC7" w14:textId="7F595E7C" w:rsidR="00452100" w:rsidRPr="00272BEF" w:rsidRDefault="00452100" w:rsidP="00BD3597">
      <w:pPr>
        <w:pStyle w:val="ListParagraph"/>
        <w:numPr>
          <w:ilvl w:val="0"/>
          <w:numId w:val="89"/>
        </w:numPr>
      </w:pPr>
      <w:r w:rsidRPr="00272BEF">
        <w:t>25% of those aged 25 and over said they were working in a paid job</w:t>
      </w:r>
    </w:p>
    <w:p w14:paraId="0A7FEBBF" w14:textId="77777777" w:rsidR="00452100" w:rsidRPr="00DF0B0A" w:rsidRDefault="00452100" w:rsidP="00452100">
      <w:pPr>
        <w:pStyle w:val="Heading2"/>
      </w:pPr>
      <w:bookmarkStart w:id="17" w:name="_Toc14246965"/>
      <w:bookmarkStart w:id="18" w:name="_Toc14353922"/>
      <w:r>
        <w:t>Slide</w:t>
      </w:r>
      <w:r w:rsidRPr="00DF0B0A">
        <w:t xml:space="preserve"> 7: Percentage with a paid job at baseline - By age</w:t>
      </w:r>
      <w:bookmarkEnd w:id="17"/>
      <w:bookmarkEnd w:id="18"/>
    </w:p>
    <w:p w14:paraId="6883BA1A" w14:textId="77777777" w:rsidR="00452100" w:rsidRPr="00272BEF" w:rsidRDefault="00452100" w:rsidP="00452100">
      <w:r w:rsidRPr="00272BEF">
        <w:t>A chart displays the percentage of participants with a paid job at the baseline at various age groups.</w:t>
      </w:r>
    </w:p>
    <w:p w14:paraId="20876EBC" w14:textId="77777777" w:rsidR="00452100" w:rsidRPr="00272BEF" w:rsidRDefault="00452100" w:rsidP="00452100">
      <w:r w:rsidRPr="00272BEF">
        <w:t>The percentage in a paid job rises from 8% for those aged 15 to 18 to 30% for those aged 25 to 44, before declining to 27% for those aged 45 to 54, then declining more rapidly as participants approach retirement, to 12% for those aged 65 or older.</w:t>
      </w:r>
    </w:p>
    <w:p w14:paraId="57B2B60B" w14:textId="77777777" w:rsidR="00452100" w:rsidRPr="00DF0B0A" w:rsidRDefault="00452100" w:rsidP="00452100">
      <w:pPr>
        <w:pStyle w:val="Heading2"/>
      </w:pPr>
      <w:bookmarkStart w:id="19" w:name="_Toc14246966"/>
      <w:bookmarkStart w:id="20" w:name="_Toc14353923"/>
      <w:r>
        <w:t>Slide</w:t>
      </w:r>
      <w:r w:rsidRPr="00DF0B0A">
        <w:t xml:space="preserve"> 8: Percentage with a paid job at baseline, by disability - 15 to 24 year olds</w:t>
      </w:r>
      <w:bookmarkEnd w:id="19"/>
      <w:bookmarkEnd w:id="20"/>
    </w:p>
    <w:p w14:paraId="7DFEABC5" w14:textId="25DBDC95" w:rsidR="00452100" w:rsidRPr="00272BEF" w:rsidRDefault="00452100" w:rsidP="00452100">
      <w:r w:rsidRPr="00272BEF">
        <w:t>A chart displays the percentage of participants with a paid job at baseline sorted by disability for participants aged 15 to 24.</w:t>
      </w:r>
    </w:p>
    <w:p w14:paraId="2E10945C" w14:textId="77777777" w:rsidR="00452100" w:rsidRPr="00272BEF" w:rsidRDefault="00452100" w:rsidP="00452100">
      <w:r w:rsidRPr="00272BEF">
        <w:t xml:space="preserve">Participants with a hearing impairment have employment rates 2.4 times the overall average. </w:t>
      </w:r>
    </w:p>
    <w:p w14:paraId="4D18678F" w14:textId="77777777" w:rsidR="00452100" w:rsidRPr="00272BEF" w:rsidRDefault="00452100" w:rsidP="00452100">
      <w:r w:rsidRPr="00272BEF">
        <w:t>Participants with neurological disabilities or psychosocial disabilities have the poorest baseline employment levels (12%-15%).</w:t>
      </w:r>
    </w:p>
    <w:p w14:paraId="6645B4B2" w14:textId="77777777" w:rsidR="00452100" w:rsidRPr="00DF0B0A" w:rsidRDefault="00452100" w:rsidP="00452100">
      <w:pPr>
        <w:pStyle w:val="Heading2"/>
      </w:pPr>
      <w:bookmarkStart w:id="21" w:name="_Toc14246967"/>
      <w:bookmarkStart w:id="22" w:name="_Toc14353924"/>
      <w:r>
        <w:t>Slide</w:t>
      </w:r>
      <w:r w:rsidRPr="00DF0B0A">
        <w:t xml:space="preserve"> 9: Percentage with a paid job at baseline, by disability - 25 and over</w:t>
      </w:r>
      <w:bookmarkEnd w:id="21"/>
      <w:bookmarkEnd w:id="22"/>
    </w:p>
    <w:p w14:paraId="1B32040E" w14:textId="77777777" w:rsidR="00452100" w:rsidRPr="00272BEF" w:rsidRDefault="00452100" w:rsidP="00452100">
      <w:r w:rsidRPr="00272BEF">
        <w:t>A chart displays the percentage of participants with a paid job at the baseline sorted by disability for participants aged 25 and over.</w:t>
      </w:r>
    </w:p>
    <w:p w14:paraId="68D25C6F" w14:textId="77777777" w:rsidR="00452100" w:rsidRPr="00272BEF" w:rsidRDefault="00452100" w:rsidP="00452100">
      <w:r w:rsidRPr="00272BEF">
        <w:t xml:space="preserve">Participants with a hearing impairment have employment rates 2.4 times the overall average. </w:t>
      </w:r>
    </w:p>
    <w:p w14:paraId="6930F5DF" w14:textId="77777777" w:rsidR="00452100" w:rsidRPr="00272BEF" w:rsidRDefault="00452100" w:rsidP="00452100">
      <w:r w:rsidRPr="00272BEF">
        <w:t xml:space="preserve">Participants with neurological disabilities or psychosocial disabilities have poorer baseline employment levels (12%-21%). </w:t>
      </w:r>
    </w:p>
    <w:p w14:paraId="16556D44" w14:textId="77777777" w:rsidR="00452100" w:rsidRPr="00272BEF" w:rsidRDefault="00452100" w:rsidP="00452100">
      <w:r w:rsidRPr="00272BEF">
        <w:t>The low percentage employed for stroke (5%) is partly due to age.</w:t>
      </w:r>
    </w:p>
    <w:p w14:paraId="2D921C63" w14:textId="77777777" w:rsidR="00452100" w:rsidRPr="00DF0B0A" w:rsidRDefault="00452100" w:rsidP="00452100">
      <w:pPr>
        <w:pStyle w:val="Heading2"/>
      </w:pPr>
      <w:bookmarkStart w:id="23" w:name="_Toc14246968"/>
      <w:bookmarkStart w:id="24" w:name="_Toc14353925"/>
      <w:r>
        <w:t>Slide</w:t>
      </w:r>
      <w:r w:rsidRPr="00DF0B0A">
        <w:t xml:space="preserve"> 10: Type of employment</w:t>
      </w:r>
      <w:bookmarkEnd w:id="23"/>
      <w:bookmarkEnd w:id="24"/>
    </w:p>
    <w:p w14:paraId="5957D9B4" w14:textId="77777777" w:rsidR="00452100" w:rsidRPr="00272BEF" w:rsidRDefault="00452100" w:rsidP="00452100">
      <w:r w:rsidRPr="00272BEF">
        <w:t>A chart displays the percentage of participants in different types of employment for the 15 to 25 and 25 and over age groups.</w:t>
      </w:r>
    </w:p>
    <w:p w14:paraId="1A47C322" w14:textId="77777777" w:rsidR="00452100" w:rsidRPr="00272BEF" w:rsidRDefault="00452100" w:rsidP="00452100">
      <w:r w:rsidRPr="00272BEF">
        <w:t xml:space="preserve">41% of 15 to 24 year olds with a paid job are in open employment at full award wages, with a further 14% in open employment at less than full award wages. </w:t>
      </w:r>
    </w:p>
    <w:p w14:paraId="4E15A2AD" w14:textId="77777777" w:rsidR="00452100" w:rsidRPr="00272BEF" w:rsidRDefault="00452100" w:rsidP="00452100">
      <w:r w:rsidRPr="00272BEF">
        <w:t xml:space="preserve">The corresponding percentages for the 25 and over cohort are lower, at 33% and 10%. </w:t>
      </w:r>
    </w:p>
    <w:p w14:paraId="2F0EB0F3" w14:textId="77777777" w:rsidR="00452100" w:rsidRPr="00272BEF" w:rsidRDefault="00452100" w:rsidP="00452100">
      <w:r w:rsidRPr="00272BEF">
        <w:t>49% of older adults are working in an ADE, compared to 35% of younger adults.</w:t>
      </w:r>
    </w:p>
    <w:p w14:paraId="6206201A" w14:textId="77777777" w:rsidR="00452100" w:rsidRPr="00DF0B0A" w:rsidRDefault="00452100" w:rsidP="00452100">
      <w:pPr>
        <w:pStyle w:val="Heading2"/>
      </w:pPr>
      <w:bookmarkStart w:id="25" w:name="_Toc14246969"/>
      <w:bookmarkStart w:id="26" w:name="_Toc14353926"/>
      <w:r>
        <w:t>Slide</w:t>
      </w:r>
      <w:r w:rsidRPr="00DF0B0A">
        <w:t xml:space="preserve"> 11: Type of employment - By age</w:t>
      </w:r>
      <w:bookmarkEnd w:id="25"/>
      <w:bookmarkEnd w:id="26"/>
    </w:p>
    <w:p w14:paraId="200A6701" w14:textId="77777777" w:rsidR="00452100" w:rsidRPr="00272BEF" w:rsidRDefault="00452100" w:rsidP="00452100">
      <w:r w:rsidRPr="00272BEF">
        <w:lastRenderedPageBreak/>
        <w:t>A chart displays the percentage of participants in different types of employment for nine age groups.</w:t>
      </w:r>
    </w:p>
    <w:p w14:paraId="4A1E57DF" w14:textId="77777777" w:rsidR="00452100" w:rsidRPr="00272BEF" w:rsidRDefault="00452100" w:rsidP="00452100">
      <w:r w:rsidRPr="00272BEF">
        <w:t xml:space="preserve">The percentage in open employment at full award wages falls from 64% for 15 to 18 year olds, to 30% for 25 to 34 year olds, then increases slightly for older ages. </w:t>
      </w:r>
    </w:p>
    <w:p w14:paraId="091DDCEF" w14:textId="77777777" w:rsidR="00452100" w:rsidRPr="00272BEF" w:rsidRDefault="00452100" w:rsidP="00452100">
      <w:r w:rsidRPr="00272BEF">
        <w:t xml:space="preserve">The percentage in open employment at less than full award wages decreases with age. </w:t>
      </w:r>
    </w:p>
    <w:p w14:paraId="59B164E9" w14:textId="77777777" w:rsidR="00452100" w:rsidRPr="00272BEF" w:rsidRDefault="00452100" w:rsidP="00452100">
      <w:r w:rsidRPr="00272BEF">
        <w:t xml:space="preserve">The percentage in an ADE increases from 7% for those 18 or younger to 51% for those aged 25 to 34, then declines after age 60. </w:t>
      </w:r>
    </w:p>
    <w:p w14:paraId="05791F4E" w14:textId="77777777" w:rsidR="00452100" w:rsidRPr="00272BEF" w:rsidRDefault="00452100" w:rsidP="00452100">
      <w:r w:rsidRPr="00272BEF">
        <w:t>Self-employment becomes more common after age 35, reaching 16% for those aged 65 or older.</w:t>
      </w:r>
    </w:p>
    <w:p w14:paraId="5F958FF5" w14:textId="77777777" w:rsidR="00452100" w:rsidRPr="00DF0B0A" w:rsidRDefault="00452100" w:rsidP="00452100">
      <w:pPr>
        <w:pStyle w:val="Heading2"/>
      </w:pPr>
      <w:bookmarkStart w:id="27" w:name="_Toc14246970"/>
      <w:bookmarkStart w:id="28" w:name="_Toc14353927"/>
      <w:r>
        <w:t>Slide</w:t>
      </w:r>
      <w:r w:rsidRPr="00DF0B0A">
        <w:t xml:space="preserve"> 12: Type of employment - By disability, 15 to 24 year olds</w:t>
      </w:r>
      <w:bookmarkEnd w:id="27"/>
      <w:bookmarkEnd w:id="28"/>
    </w:p>
    <w:p w14:paraId="07C08AD1" w14:textId="77777777" w:rsidR="00452100" w:rsidRPr="00272BEF" w:rsidRDefault="00452100" w:rsidP="00452100">
      <w:r w:rsidRPr="00272BEF">
        <w:t>A chart displays the percentage of participants in different types of employment sorted by disability for the 15 to 24 age group.</w:t>
      </w:r>
    </w:p>
    <w:p w14:paraId="009A1B1E" w14:textId="77777777" w:rsidR="00452100" w:rsidRPr="00272BEF" w:rsidRDefault="00452100" w:rsidP="00452100">
      <w:r w:rsidRPr="00272BEF">
        <w:t xml:space="preserve">Participants with hearing impairment are the most likely to be in open employment at full award wages (82%), and participants with Down syndrome (17%) or intellectual disability (29%) are the least likely. </w:t>
      </w:r>
    </w:p>
    <w:p w14:paraId="330F014D" w14:textId="77777777" w:rsidR="00452100" w:rsidRPr="00272BEF" w:rsidRDefault="00452100" w:rsidP="00452100">
      <w:r w:rsidRPr="00272BEF">
        <w:t>Participants with Down syndrome (49%) or intellectual disability (45%) are the most likely to be working in an Australian Disability Enterprise.</w:t>
      </w:r>
    </w:p>
    <w:p w14:paraId="78FA22DB" w14:textId="77777777" w:rsidR="00452100" w:rsidRPr="00DF0B0A" w:rsidRDefault="00452100" w:rsidP="00452100">
      <w:pPr>
        <w:pStyle w:val="Heading2"/>
      </w:pPr>
      <w:bookmarkStart w:id="29" w:name="_Toc14246971"/>
      <w:bookmarkStart w:id="30" w:name="_Toc14353928"/>
      <w:r>
        <w:t>Slide</w:t>
      </w:r>
      <w:r w:rsidRPr="00DF0B0A">
        <w:t xml:space="preserve"> 13: Type of employment - By disability, 25 and over</w:t>
      </w:r>
      <w:bookmarkEnd w:id="29"/>
      <w:bookmarkEnd w:id="30"/>
    </w:p>
    <w:p w14:paraId="2F182E62" w14:textId="77777777" w:rsidR="00452100" w:rsidRPr="00272BEF" w:rsidRDefault="00452100" w:rsidP="00452100">
      <w:r w:rsidRPr="00272BEF">
        <w:t>A chart displays the percentage of participants in different types of employment sorted by disability for the 25 and over age group.</w:t>
      </w:r>
    </w:p>
    <w:p w14:paraId="4DB84522" w14:textId="77777777" w:rsidR="00452100" w:rsidRPr="00272BEF" w:rsidRDefault="00452100" w:rsidP="00452100">
      <w:r w:rsidRPr="00272BEF">
        <w:t xml:space="preserve">Participants with hearing impairment are the most likely to be in open employment at full award wages (83%). </w:t>
      </w:r>
    </w:p>
    <w:p w14:paraId="314119E5" w14:textId="77777777" w:rsidR="00452100" w:rsidRPr="00272BEF" w:rsidRDefault="00452100" w:rsidP="00452100">
      <w:r w:rsidRPr="00272BEF">
        <w:t xml:space="preserve">Participants with a spinal cord injury are much more likely to be self-employed. </w:t>
      </w:r>
    </w:p>
    <w:p w14:paraId="298B394A" w14:textId="77777777" w:rsidR="00452100" w:rsidRPr="00272BEF" w:rsidRDefault="00452100" w:rsidP="00452100">
      <w:r w:rsidRPr="00272BEF">
        <w:t>Participants with Down syndrome (72%) or intellectual disability (74%) are the most likely to be working in an ADE.</w:t>
      </w:r>
    </w:p>
    <w:p w14:paraId="6D1275AB" w14:textId="77777777" w:rsidR="00452100" w:rsidRPr="00DF0B0A" w:rsidRDefault="00452100" w:rsidP="00452100">
      <w:pPr>
        <w:pStyle w:val="Heading2"/>
      </w:pPr>
      <w:bookmarkStart w:id="31" w:name="_Toc14246972"/>
      <w:bookmarkStart w:id="32" w:name="_Toc14353929"/>
      <w:r>
        <w:t>Slide</w:t>
      </w:r>
      <w:r w:rsidRPr="00DF0B0A">
        <w:t xml:space="preserve"> 14: NDIS participants and the Disability Support Pension: Preliminary data linkage results</w:t>
      </w:r>
      <w:bookmarkEnd w:id="31"/>
      <w:bookmarkEnd w:id="32"/>
    </w:p>
    <w:p w14:paraId="783923CB" w14:textId="7C9DCCA5" w:rsidR="00452100" w:rsidRPr="00272BEF" w:rsidRDefault="00452100" w:rsidP="00452100">
      <w:r w:rsidRPr="00272BEF">
        <w:t>Increased employment for people with disability is expected to lead to decreased reliance on the Disability Support Pension (DSP)</w:t>
      </w:r>
      <w:r w:rsidR="00B60690">
        <w:t>.</w:t>
      </w:r>
    </w:p>
    <w:p w14:paraId="27679C3B" w14:textId="77777777" w:rsidR="00B60690" w:rsidRDefault="00452100" w:rsidP="00452100">
      <w:r w:rsidRPr="00272BEF">
        <w:t>A data linkage has been established with Centrelink data to investigate participant usage of DSP</w:t>
      </w:r>
      <w:r w:rsidR="00B60690">
        <w:t>.</w:t>
      </w:r>
    </w:p>
    <w:p w14:paraId="431F1A8E" w14:textId="1D1D989B" w:rsidR="00452100" w:rsidRPr="00272BEF" w:rsidRDefault="00452100" w:rsidP="00452100">
      <w:r w:rsidRPr="00272BEF">
        <w:t>Economic benefits are expected to be long-term</w:t>
      </w:r>
      <w:r w:rsidR="00B60690">
        <w:t xml:space="preserve"> </w:t>
      </w:r>
      <w:r w:rsidRPr="00272BEF">
        <w:t xml:space="preserve">in nature, and not fully realised (or measureable in the longitudinal data) for </w:t>
      </w:r>
      <w:r w:rsidR="00B60690">
        <w:t xml:space="preserve">a </w:t>
      </w:r>
      <w:r w:rsidRPr="00272BEF">
        <w:t>number of years</w:t>
      </w:r>
    </w:p>
    <w:p w14:paraId="1B4AA483" w14:textId="77777777" w:rsidR="00452100" w:rsidRPr="00272BEF" w:rsidRDefault="00452100" w:rsidP="00452100">
      <w:r w:rsidRPr="00272BEF">
        <w:t>Some preliminary cross sectional results are presented in the following slides.</w:t>
      </w:r>
    </w:p>
    <w:p w14:paraId="28431587" w14:textId="77777777" w:rsidR="00452100" w:rsidRPr="00DF0B0A" w:rsidRDefault="00452100" w:rsidP="00452100">
      <w:pPr>
        <w:pStyle w:val="Heading2"/>
      </w:pPr>
      <w:bookmarkStart w:id="33" w:name="_Toc14246973"/>
      <w:bookmarkStart w:id="34" w:name="_Toc14353930"/>
      <w:r>
        <w:t>Slide</w:t>
      </w:r>
      <w:r w:rsidRPr="00DF0B0A">
        <w:t xml:space="preserve"> 15: Percentage of NDIS participants receiving the DSP as at July 2018 - By age</w:t>
      </w:r>
      <w:bookmarkEnd w:id="33"/>
      <w:bookmarkEnd w:id="34"/>
    </w:p>
    <w:p w14:paraId="309DB2F6" w14:textId="60BF6FCC" w:rsidR="00452100" w:rsidRPr="00272BEF" w:rsidRDefault="00452100" w:rsidP="00452100">
      <w:r w:rsidRPr="00272BEF">
        <w:t>A chart displays the percentage of NDIS participants receiving the DSP as at July 2018 by age</w:t>
      </w:r>
      <w:r w:rsidR="00E829E9">
        <w:t xml:space="preserve"> group</w:t>
      </w:r>
      <w:r w:rsidRPr="00272BEF">
        <w:t>.</w:t>
      </w:r>
    </w:p>
    <w:p w14:paraId="2CE755D2" w14:textId="77777777" w:rsidR="00452100" w:rsidRPr="00272BEF" w:rsidRDefault="00452100" w:rsidP="00452100">
      <w:r w:rsidRPr="00272BEF">
        <w:lastRenderedPageBreak/>
        <w:t xml:space="preserve">Overall, 77% of NDIS participants received the DSP. </w:t>
      </w:r>
    </w:p>
    <w:p w14:paraId="41D41395" w14:textId="77777777" w:rsidR="00452100" w:rsidRPr="00272BEF" w:rsidRDefault="00452100" w:rsidP="00452100">
      <w:r w:rsidRPr="00272BEF">
        <w:t xml:space="preserve">The percentage was lower for the youngest age group (64% - many of these are not yet in the workforce) and oldest age group (57% - reflecting the DSP cut-off at retirement age). </w:t>
      </w:r>
    </w:p>
    <w:p w14:paraId="0000211C" w14:textId="77777777" w:rsidR="00452100" w:rsidRPr="00272BEF" w:rsidRDefault="00452100" w:rsidP="00452100">
      <w:r w:rsidRPr="00272BEF">
        <w:t>The percentage is highest for the 25 to 34 age group (88%).</w:t>
      </w:r>
    </w:p>
    <w:p w14:paraId="2AF71DE2" w14:textId="77777777" w:rsidR="00452100" w:rsidRPr="00DF0B0A" w:rsidRDefault="00452100" w:rsidP="00452100">
      <w:pPr>
        <w:pStyle w:val="Heading2"/>
      </w:pPr>
      <w:bookmarkStart w:id="35" w:name="_Toc14246974"/>
      <w:bookmarkStart w:id="36" w:name="_Toc14353931"/>
      <w:r>
        <w:t>Slide</w:t>
      </w:r>
      <w:r w:rsidRPr="00DF0B0A">
        <w:t xml:space="preserve"> 16: Percentage of NDIS participants receiving the DSP as at July 2018 - By disability</w:t>
      </w:r>
      <w:bookmarkEnd w:id="35"/>
      <w:bookmarkEnd w:id="36"/>
    </w:p>
    <w:p w14:paraId="65423314" w14:textId="0164FEC0" w:rsidR="00452100" w:rsidRPr="00272BEF" w:rsidRDefault="00452100" w:rsidP="00452100">
      <w:r w:rsidRPr="00272BEF">
        <w:t>A chart displays the percentage of NDIS participants receiving the DSP as at July 2018 by disability.</w:t>
      </w:r>
    </w:p>
    <w:p w14:paraId="37AE6726" w14:textId="77777777" w:rsidR="00452100" w:rsidRPr="00272BEF" w:rsidRDefault="00452100" w:rsidP="00452100">
      <w:r w:rsidRPr="00272BEF">
        <w:t xml:space="preserve">Participants with an intellectual disability (including Down syndrome) are the most likely to receive the DSP (88%). </w:t>
      </w:r>
    </w:p>
    <w:p w14:paraId="38B7F153" w14:textId="77777777" w:rsidR="00452100" w:rsidRPr="00272BEF" w:rsidRDefault="00452100" w:rsidP="00452100">
      <w:r w:rsidRPr="00272BEF">
        <w:t>Participants with hearing impairment are the least likely to receive the DSP (31%), reflecting their high employment levels relative to participants with other disabilities.</w:t>
      </w:r>
    </w:p>
    <w:p w14:paraId="57F0A730" w14:textId="77777777" w:rsidR="00452100" w:rsidRPr="00DF0B0A" w:rsidRDefault="00452100" w:rsidP="00452100">
      <w:pPr>
        <w:pStyle w:val="Heading2"/>
      </w:pPr>
      <w:bookmarkStart w:id="37" w:name="_Toc14246975"/>
      <w:bookmarkStart w:id="38" w:name="_Toc14353932"/>
      <w:r>
        <w:t>Slide</w:t>
      </w:r>
      <w:r w:rsidRPr="00DF0B0A">
        <w:t xml:space="preserve"> 17: Percentage of DSP recipients with an approved NDIS plan as at July 2018 - By age</w:t>
      </w:r>
      <w:bookmarkEnd w:id="37"/>
      <w:bookmarkEnd w:id="38"/>
    </w:p>
    <w:p w14:paraId="464AB66D" w14:textId="5B262AFA" w:rsidR="00452100" w:rsidRPr="00272BEF" w:rsidRDefault="00452100" w:rsidP="00452100">
      <w:r w:rsidRPr="00272BEF">
        <w:t>A chart displays the percentage of DSP recipients with an approved NDIS plan as at July 2018 by age</w:t>
      </w:r>
      <w:r w:rsidR="00E829E9">
        <w:t xml:space="preserve"> group</w:t>
      </w:r>
      <w:r w:rsidRPr="00272BEF">
        <w:t>.</w:t>
      </w:r>
    </w:p>
    <w:p w14:paraId="3B455335" w14:textId="77777777" w:rsidR="00452100" w:rsidRPr="00272BEF" w:rsidRDefault="00452100" w:rsidP="00452100">
      <w:r w:rsidRPr="00272BEF">
        <w:t xml:space="preserve">Overall, 7% of DSP recipients have an approved NDIS plan. </w:t>
      </w:r>
    </w:p>
    <w:p w14:paraId="6D95E966" w14:textId="77777777" w:rsidR="00452100" w:rsidRPr="00272BEF" w:rsidRDefault="00452100" w:rsidP="00452100">
      <w:r w:rsidRPr="00272BEF">
        <w:t xml:space="preserve">The percentage declines with age, from 40% for 16 to 24 year olds to 21% for 25 to 34 year olds, then more gradually from age 35. </w:t>
      </w:r>
    </w:p>
    <w:p w14:paraId="2B27E365" w14:textId="77777777" w:rsidR="00452100" w:rsidRPr="00272BEF" w:rsidRDefault="00452100" w:rsidP="00452100">
      <w:r w:rsidRPr="00272BEF">
        <w:t>This may change at full scheme, but suggests that older DSP recipients tend to have milder levels of disability, and hence are less likely to be eligible for individual NDIS funding.</w:t>
      </w:r>
    </w:p>
    <w:p w14:paraId="246D817D" w14:textId="77777777" w:rsidR="00A42FFE" w:rsidRPr="00DF0B0A" w:rsidRDefault="00A42FFE" w:rsidP="00A42FFE">
      <w:pPr>
        <w:pStyle w:val="Heading2"/>
      </w:pPr>
      <w:bookmarkStart w:id="39" w:name="_Toc14246976"/>
      <w:bookmarkStart w:id="40" w:name="_Toc14353933"/>
      <w:r>
        <w:t>Slide</w:t>
      </w:r>
      <w:r w:rsidRPr="00DF0B0A">
        <w:t xml:space="preserve"> 18: Employment goals in participant plans</w:t>
      </w:r>
      <w:bookmarkEnd w:id="39"/>
      <w:bookmarkEnd w:id="40"/>
    </w:p>
    <w:p w14:paraId="180D5016" w14:textId="77777777" w:rsidR="00A42FFE" w:rsidRPr="00272BEF" w:rsidRDefault="00A42FFE" w:rsidP="00A42FFE">
      <w:r w:rsidRPr="00272BEF">
        <w:t>During planning conversations, participants are encouraged to choose at least two goals that are most important to them. These goals are recorded in their plan, and categorised according to the eight domains of the adult outcomes framework.</w:t>
      </w:r>
    </w:p>
    <w:p w14:paraId="51C60DE5" w14:textId="77777777" w:rsidR="00A42FFE" w:rsidRPr="00272BEF" w:rsidRDefault="00A42FFE" w:rsidP="00A42FFE">
      <w:r w:rsidRPr="00272BEF">
        <w:t>Overall, the percentage of active plans at 30 June 2018 with a work-related goal was:</w:t>
      </w:r>
    </w:p>
    <w:p w14:paraId="360FE2FB" w14:textId="77777777" w:rsidR="00A42FFE" w:rsidRPr="00272BEF" w:rsidRDefault="00A42FFE" w:rsidP="00BD3597">
      <w:pPr>
        <w:pStyle w:val="ListParagraph"/>
        <w:numPr>
          <w:ilvl w:val="0"/>
          <w:numId w:val="90"/>
        </w:numPr>
      </w:pPr>
      <w:r w:rsidRPr="00272BEF">
        <w:t>55% for participants aged 15 to 24</w:t>
      </w:r>
    </w:p>
    <w:p w14:paraId="1A839A64" w14:textId="77777777" w:rsidR="00A42FFE" w:rsidRPr="00272BEF" w:rsidRDefault="00A42FFE" w:rsidP="00BD3597">
      <w:pPr>
        <w:pStyle w:val="ListParagraph"/>
        <w:numPr>
          <w:ilvl w:val="0"/>
          <w:numId w:val="90"/>
        </w:numPr>
      </w:pPr>
      <w:r w:rsidRPr="00272BEF">
        <w:t>26% for participants aged 25 or over</w:t>
      </w:r>
    </w:p>
    <w:p w14:paraId="45C6B4B0" w14:textId="77777777" w:rsidR="00A42FFE" w:rsidRPr="00272BEF" w:rsidRDefault="00A42FFE" w:rsidP="00BD3597">
      <w:pPr>
        <w:pStyle w:val="ListParagraph"/>
        <w:numPr>
          <w:ilvl w:val="0"/>
          <w:numId w:val="90"/>
        </w:numPr>
      </w:pPr>
      <w:r w:rsidRPr="00272BEF">
        <w:t>31% for participants aged 15 and over</w:t>
      </w:r>
    </w:p>
    <w:p w14:paraId="1040EA11" w14:textId="77777777" w:rsidR="00A42FFE" w:rsidRPr="00DF0B0A" w:rsidRDefault="00A42FFE" w:rsidP="00A42FFE">
      <w:pPr>
        <w:pStyle w:val="Heading2"/>
      </w:pPr>
      <w:bookmarkStart w:id="41" w:name="_Toc14246977"/>
      <w:bookmarkStart w:id="42" w:name="_Toc14353934"/>
      <w:r>
        <w:t>Slide</w:t>
      </w:r>
      <w:r w:rsidRPr="00DF0B0A">
        <w:t xml:space="preserve"> 19: Percentage of plans with a work goal by response to SF question: “Are you currently working in a paid job?”</w:t>
      </w:r>
      <w:bookmarkEnd w:id="41"/>
      <w:bookmarkEnd w:id="42"/>
    </w:p>
    <w:p w14:paraId="256047CC" w14:textId="16FBC451" w:rsidR="00A42FFE" w:rsidRPr="00272BEF" w:rsidRDefault="00A42FFE" w:rsidP="00A42FFE">
      <w:r w:rsidRPr="00272BEF">
        <w:t>A graph displays the percentage of plans with a work goal by response to SF question: “Are you currently working in a paid job?” by age</w:t>
      </w:r>
      <w:r w:rsidR="00784FFF">
        <w:t xml:space="preserve"> group</w:t>
      </w:r>
      <w:r w:rsidRPr="00272BEF">
        <w:t>.</w:t>
      </w:r>
    </w:p>
    <w:p w14:paraId="79AF2ABB" w14:textId="77777777" w:rsidR="00A42FFE" w:rsidRPr="00272BEF" w:rsidRDefault="00A42FFE" w:rsidP="00A42FFE">
      <w:r w:rsidRPr="00272BEF">
        <w:t xml:space="preserve">The percentages with a work goal are slightly higher for those who say they don’t have a job but would like one, compared to those who say they have a job. </w:t>
      </w:r>
    </w:p>
    <w:p w14:paraId="50074F07" w14:textId="77777777" w:rsidR="00A42FFE" w:rsidRPr="00272BEF" w:rsidRDefault="00A42FFE" w:rsidP="00A42FFE">
      <w:r w:rsidRPr="00272BEF">
        <w:t xml:space="preserve">Some participants who say they don’t have a job and don’t want one still have a work goal in their plan. </w:t>
      </w:r>
    </w:p>
    <w:p w14:paraId="436FAC90" w14:textId="77777777" w:rsidR="00A42FFE" w:rsidRPr="00272BEF" w:rsidRDefault="00A42FFE" w:rsidP="00A42FFE">
      <w:r w:rsidRPr="00272BEF">
        <w:lastRenderedPageBreak/>
        <w:t>The percentages with work goals are lower for older adults compared to younger adults.</w:t>
      </w:r>
    </w:p>
    <w:p w14:paraId="4D3938D4" w14:textId="77777777" w:rsidR="00A42FFE" w:rsidRPr="00DF0B0A" w:rsidRDefault="00A42FFE" w:rsidP="00A42FFE">
      <w:pPr>
        <w:pStyle w:val="Heading2"/>
      </w:pPr>
      <w:bookmarkStart w:id="43" w:name="_Toc14246978"/>
      <w:bookmarkStart w:id="44" w:name="_Toc14353935"/>
      <w:r>
        <w:t>Slide</w:t>
      </w:r>
      <w:r w:rsidRPr="00DF0B0A">
        <w:t xml:space="preserve"> 20: Percentage of plans with a work goal by age, overall and for those who don’t have a job but would like one</w:t>
      </w:r>
      <w:bookmarkEnd w:id="43"/>
      <w:bookmarkEnd w:id="44"/>
    </w:p>
    <w:p w14:paraId="2745FE6D" w14:textId="77777777" w:rsidR="00A42FFE" w:rsidRPr="00272BEF" w:rsidRDefault="00A42FFE" w:rsidP="00A42FFE">
      <w:r w:rsidRPr="00272BEF">
        <w:t>A chart displays the percentage of plans with a work goal by age, overall and for those who don’t have a job but would like one.</w:t>
      </w:r>
    </w:p>
    <w:p w14:paraId="433E542B" w14:textId="77777777" w:rsidR="00A42FFE" w:rsidRPr="00272BEF" w:rsidRDefault="00A42FFE" w:rsidP="00A42FFE">
      <w:r w:rsidRPr="00272BEF">
        <w:t xml:space="preserve">The percentages with a work goal peak at age 18-19 then decline rapidly for both the overall group (possibly due to participants gaining employment) and the group who say they would like to get a job. </w:t>
      </w:r>
    </w:p>
    <w:p w14:paraId="492FD4C8" w14:textId="77777777" w:rsidR="00A42FFE" w:rsidRPr="00272BEF" w:rsidRDefault="00A42FFE" w:rsidP="00A42FFE">
      <w:r w:rsidRPr="00272BEF">
        <w:t>The observed trend may be influenced by the School Leaver Employment Support (SLES) program available to the youngest participants.</w:t>
      </w:r>
    </w:p>
    <w:p w14:paraId="4519ECC2" w14:textId="77777777" w:rsidR="00A42FFE" w:rsidRPr="00DF0B0A" w:rsidRDefault="00A42FFE" w:rsidP="00A42FFE">
      <w:pPr>
        <w:pStyle w:val="Heading2"/>
      </w:pPr>
      <w:bookmarkStart w:id="45" w:name="_Toc14246979"/>
      <w:bookmarkStart w:id="46" w:name="_Toc14353936"/>
      <w:r>
        <w:t>Slide</w:t>
      </w:r>
      <w:r w:rsidRPr="00DF0B0A">
        <w:t xml:space="preserve"> 21: Percentage of plans with a work goal by disability, for those who don’t have a job but would like one</w:t>
      </w:r>
      <w:bookmarkEnd w:id="45"/>
      <w:bookmarkEnd w:id="46"/>
    </w:p>
    <w:p w14:paraId="0E9CB74E" w14:textId="77777777" w:rsidR="00A42FFE" w:rsidRPr="00272BEF" w:rsidRDefault="00A42FFE" w:rsidP="00A42FFE">
      <w:r w:rsidRPr="00272BEF">
        <w:t>A chart displays the percentage of plans with a work goal by disability, for those who don’t have a job but would like one.</w:t>
      </w:r>
    </w:p>
    <w:p w14:paraId="2D30E33C" w14:textId="77777777" w:rsidR="00A42FFE" w:rsidRPr="00272BEF" w:rsidRDefault="00A42FFE" w:rsidP="00A42FFE">
      <w:r w:rsidRPr="00272BEF">
        <w:t xml:space="preserve">The percentage with a work goal tends to be higher for participants with an intellectual disability, for both younger and older adults. </w:t>
      </w:r>
    </w:p>
    <w:p w14:paraId="478A3B9B" w14:textId="77777777" w:rsidR="00A42FFE" w:rsidRPr="00272BEF" w:rsidRDefault="00A42FFE" w:rsidP="00A42FFE">
      <w:r w:rsidRPr="00272BEF">
        <w:t>The percentage tends to be lower for those with a spinal cord injury, another physical disability, multiple sclerosis or stroke.</w:t>
      </w:r>
    </w:p>
    <w:p w14:paraId="5BF034D6" w14:textId="77777777" w:rsidR="00D90A46" w:rsidRPr="00DF0B0A" w:rsidRDefault="00D90A46" w:rsidP="00D90A46">
      <w:pPr>
        <w:pStyle w:val="Heading2"/>
      </w:pPr>
      <w:bookmarkStart w:id="47" w:name="_Toc14246980"/>
      <w:bookmarkStart w:id="48" w:name="_Toc14353937"/>
      <w:r>
        <w:t>Slide</w:t>
      </w:r>
      <w:r w:rsidRPr="00DF0B0A">
        <w:t xml:space="preserve"> 22: Australian labour market - trend</w:t>
      </w:r>
      <w:bookmarkEnd w:id="47"/>
      <w:bookmarkEnd w:id="48"/>
    </w:p>
    <w:p w14:paraId="2927EFA7" w14:textId="77777777" w:rsidR="00D90A46" w:rsidRPr="00016DF9" w:rsidRDefault="00D90A46" w:rsidP="00D90A46">
      <w:r w:rsidRPr="00016DF9">
        <w:t>The last two years have been characterised by a strengthening Australian labour market. Between July 2016 and July 2018 the employment to population ratio has increased:</w:t>
      </w:r>
    </w:p>
    <w:p w14:paraId="7C21A172" w14:textId="77777777" w:rsidR="00D90A46" w:rsidRPr="00272BEF" w:rsidRDefault="00D90A46" w:rsidP="00BD3597">
      <w:pPr>
        <w:pStyle w:val="ListParagraph"/>
        <w:numPr>
          <w:ilvl w:val="0"/>
          <w:numId w:val="91"/>
        </w:numPr>
      </w:pPr>
      <w:r w:rsidRPr="00272BEF">
        <w:t>From 58.4% to 60.0% for 15 to 24 year olds.</w:t>
      </w:r>
    </w:p>
    <w:p w14:paraId="313B9311" w14:textId="77777777" w:rsidR="00D90A46" w:rsidRPr="00272BEF" w:rsidRDefault="00D90A46" w:rsidP="00BD3597">
      <w:pPr>
        <w:pStyle w:val="ListParagraph"/>
        <w:numPr>
          <w:ilvl w:val="0"/>
          <w:numId w:val="91"/>
        </w:numPr>
      </w:pPr>
      <w:r w:rsidRPr="00272BEF">
        <w:t>From 75.9% to 77.1% for 25 to 64 year olds.</w:t>
      </w:r>
    </w:p>
    <w:p w14:paraId="5585C85E" w14:textId="77777777" w:rsidR="00D90A46" w:rsidRPr="00272BEF" w:rsidRDefault="00D90A46" w:rsidP="00BD3597">
      <w:pPr>
        <w:pStyle w:val="ListParagraph"/>
        <w:numPr>
          <w:ilvl w:val="0"/>
          <w:numId w:val="91"/>
        </w:numPr>
      </w:pPr>
      <w:r w:rsidRPr="00272BEF">
        <w:t>From 72.4% to 73.7% for 15 to 64 year olds.</w:t>
      </w:r>
    </w:p>
    <w:p w14:paraId="192CD3CC" w14:textId="77777777" w:rsidR="00D90A46" w:rsidRPr="00DF0B0A" w:rsidRDefault="00D90A46" w:rsidP="00D90A46">
      <w:pPr>
        <w:pStyle w:val="Heading2"/>
      </w:pPr>
      <w:bookmarkStart w:id="49" w:name="_Toc14246981"/>
      <w:bookmarkStart w:id="50" w:name="_Toc14353938"/>
      <w:r>
        <w:t>Slide</w:t>
      </w:r>
      <w:r w:rsidRPr="00DF0B0A">
        <w:t xml:space="preserve"> 23: Employment experience of NDIS participants - trend</w:t>
      </w:r>
      <w:bookmarkEnd w:id="49"/>
      <w:bookmarkEnd w:id="50"/>
    </w:p>
    <w:p w14:paraId="67C5F01B" w14:textId="77777777" w:rsidR="00D90A46" w:rsidRPr="00272BEF" w:rsidRDefault="00D90A46" w:rsidP="00D90A46">
      <w:r w:rsidRPr="00272BEF">
        <w:t xml:space="preserve">For NDIS participants, the change in the percentage who report that they are in paid work between baseline (entry to the Scheme) and review (approximately one year later) is: </w:t>
      </w:r>
    </w:p>
    <w:p w14:paraId="2F992216" w14:textId="5D718E0E" w:rsidR="00D90A46" w:rsidRPr="00272BEF" w:rsidRDefault="00D90A46" w:rsidP="00BD3597">
      <w:pPr>
        <w:pStyle w:val="ListParagraph"/>
        <w:numPr>
          <w:ilvl w:val="0"/>
          <w:numId w:val="92"/>
        </w:numPr>
      </w:pPr>
      <w:r w:rsidRPr="00272BEF">
        <w:t xml:space="preserve">A slight improvement of </w:t>
      </w:r>
      <w:r w:rsidRPr="00D90A46">
        <w:rPr>
          <w:bCs/>
        </w:rPr>
        <w:t>+3 percentage points</w:t>
      </w:r>
      <w:r w:rsidRPr="00D90A46">
        <w:rPr>
          <w:b/>
          <w:bCs/>
        </w:rPr>
        <w:t xml:space="preserve"> </w:t>
      </w:r>
      <w:r w:rsidRPr="00272BEF">
        <w:t xml:space="preserve">for 15-24 year olds (from 15% to 18%) </w:t>
      </w:r>
    </w:p>
    <w:p w14:paraId="20BD7D83" w14:textId="5242F5B5" w:rsidR="00D90A46" w:rsidRPr="00272BEF" w:rsidRDefault="00D90A46" w:rsidP="00BD3597">
      <w:pPr>
        <w:pStyle w:val="ListParagraph"/>
        <w:numPr>
          <w:ilvl w:val="0"/>
          <w:numId w:val="92"/>
        </w:numPr>
      </w:pPr>
      <w:r w:rsidRPr="00272BEF">
        <w:t xml:space="preserve">A small decrease of </w:t>
      </w:r>
      <w:r w:rsidRPr="00D90A46">
        <w:rPr>
          <w:bCs/>
        </w:rPr>
        <w:t>-1 percentage point</w:t>
      </w:r>
      <w:r w:rsidRPr="00D90A46">
        <w:rPr>
          <w:b/>
          <w:bCs/>
        </w:rPr>
        <w:t xml:space="preserve"> </w:t>
      </w:r>
      <w:r w:rsidRPr="00272BEF">
        <w:t>for participants aged 25 and over (from 25% to 24%)</w:t>
      </w:r>
    </w:p>
    <w:p w14:paraId="65D55096" w14:textId="77777777" w:rsidR="00BD3597" w:rsidRDefault="00D90A46" w:rsidP="00D90A46">
      <w:pPr>
        <w:spacing w:before="200" w:after="240" w:line="257" w:lineRule="auto"/>
        <w:rPr>
          <w:bCs/>
        </w:rPr>
      </w:pPr>
      <w:r w:rsidRPr="00D90A46">
        <w:rPr>
          <w:bCs/>
        </w:rPr>
        <w:t>Overall, the percentage in paid work remained broadly the same for working age participants, at 22%.</w:t>
      </w:r>
    </w:p>
    <w:p w14:paraId="20625981" w14:textId="43817EEE" w:rsidR="00D90A46" w:rsidRPr="00D90A46" w:rsidRDefault="00D90A46" w:rsidP="00D90A46">
      <w:pPr>
        <w:spacing w:before="200" w:after="240" w:line="257" w:lineRule="auto"/>
        <w:rPr>
          <w:rStyle w:val="Heading2Char"/>
        </w:rPr>
      </w:pPr>
      <w:bookmarkStart w:id="51" w:name="_Toc14246982"/>
      <w:bookmarkStart w:id="52" w:name="_Toc14353939"/>
      <w:r w:rsidRPr="00D90A46">
        <w:rPr>
          <w:rStyle w:val="Heading2Char"/>
        </w:rPr>
        <w:t>Slide 24: Employment status transition rates</w:t>
      </w:r>
      <w:bookmarkEnd w:id="51"/>
      <w:bookmarkEnd w:id="52"/>
    </w:p>
    <w:p w14:paraId="78106C79" w14:textId="0BE8A12C" w:rsidR="00D90A46" w:rsidRPr="00272BEF" w:rsidRDefault="00D90A46" w:rsidP="00BD3597">
      <w:r w:rsidRPr="00272BEF">
        <w:t>Two charts display the responses to the question “Are you currently working in a paid job?” as transition percentages from being in paid work, not being in paid work but would like to be</w:t>
      </w:r>
      <w:r w:rsidR="00DE7E92">
        <w:t>,</w:t>
      </w:r>
      <w:r w:rsidRPr="00272BEF">
        <w:t xml:space="preserve"> and not in paid work and don’t want to be. The first chart is for participants aged 15 to 24 and the second chart is for participants aged 25 and over.</w:t>
      </w:r>
    </w:p>
    <w:p w14:paraId="291E4A28" w14:textId="47C16D6E" w:rsidR="00D90A46" w:rsidRPr="00272BEF" w:rsidRDefault="00D90A46" w:rsidP="00BD3597">
      <w:r w:rsidRPr="00272BEF">
        <w:lastRenderedPageBreak/>
        <w:t xml:space="preserve">For participants aged 15 to 24, of those in paid work at baseline 81% remained in paid work at review. Of those not in paid work but would like to be at baseline, 12% were in paid work at review. Of those not in paid work and don’t want to be at baseline, 2% are in paid work at </w:t>
      </w:r>
      <w:r w:rsidR="007A0530">
        <w:t>review</w:t>
      </w:r>
      <w:r w:rsidRPr="00272BEF">
        <w:t>.</w:t>
      </w:r>
    </w:p>
    <w:p w14:paraId="0A0F9F1A" w14:textId="2ADC6BDE" w:rsidR="00D90A46" w:rsidRPr="00272BEF" w:rsidRDefault="00D90A46" w:rsidP="00BD3597">
      <w:r w:rsidRPr="00272BEF">
        <w:t xml:space="preserve">For participants aged 25 and over, of those in paid work at baseline 91% remained in paid work at review. Of those not in paid work but would like to be at baseline, 7% were in paid work at review. Of those not in paid work and don’t want to be at baseline, 1% are in paid work at </w:t>
      </w:r>
      <w:r w:rsidR="007A0530">
        <w:t>review</w:t>
      </w:r>
      <w:r w:rsidRPr="00272BEF">
        <w:t>.</w:t>
      </w:r>
    </w:p>
    <w:p w14:paraId="74887442" w14:textId="60D0E1FF" w:rsidR="00D90A46" w:rsidRDefault="00D90A46" w:rsidP="00D90A46">
      <w:pPr>
        <w:pStyle w:val="Heading2"/>
      </w:pPr>
      <w:bookmarkStart w:id="53" w:name="_Toc14246983"/>
      <w:bookmarkStart w:id="54" w:name="_Toc14353940"/>
      <w:r>
        <w:t>Slide</w:t>
      </w:r>
      <w:r w:rsidRPr="00DF0B0A">
        <w:t xml:space="preserve"> 25: Employment goals in participant plans</w:t>
      </w:r>
      <w:bookmarkEnd w:id="53"/>
      <w:bookmarkEnd w:id="54"/>
    </w:p>
    <w:p w14:paraId="487AF0B1" w14:textId="56FD57F7" w:rsidR="00EE2AA9" w:rsidRPr="00EE2AA9" w:rsidRDefault="00EE2AA9" w:rsidP="00EE2AA9">
      <w:r>
        <w:t>This slide provides more information about the previous slide.</w:t>
      </w:r>
    </w:p>
    <w:p w14:paraId="31E10DA6" w14:textId="77777777" w:rsidR="00D90A46" w:rsidRPr="00272BEF" w:rsidRDefault="00D90A46" w:rsidP="00F72A7F">
      <w:pPr>
        <w:pStyle w:val="Heading3"/>
      </w:pPr>
      <w:r w:rsidRPr="00272BEF">
        <w:t xml:space="preserve">Job seekers at baseline (middle row in previous slide) </w:t>
      </w:r>
    </w:p>
    <w:p w14:paraId="21D574F2" w14:textId="0FB17D96" w:rsidR="00D90A46" w:rsidRPr="00272BEF" w:rsidRDefault="00D90A46" w:rsidP="00F72A7F">
      <w:pPr>
        <w:pStyle w:val="ListParagraph"/>
        <w:numPr>
          <w:ilvl w:val="0"/>
          <w:numId w:val="93"/>
        </w:numPr>
      </w:pPr>
      <w:r w:rsidRPr="00272BEF">
        <w:t xml:space="preserve">12% of 15 to 24 year olds in this category were in a paid job at review </w:t>
      </w:r>
    </w:p>
    <w:p w14:paraId="14F42103" w14:textId="50A9FE7A" w:rsidR="00D90A46" w:rsidRPr="00272BEF" w:rsidRDefault="00D90A46" w:rsidP="00F72A7F">
      <w:pPr>
        <w:pStyle w:val="ListParagraph"/>
        <w:numPr>
          <w:ilvl w:val="0"/>
          <w:numId w:val="93"/>
        </w:numPr>
      </w:pPr>
      <w:r w:rsidRPr="00272BEF">
        <w:t xml:space="preserve">7% of those 25 and over in this category were in a paid job at review </w:t>
      </w:r>
    </w:p>
    <w:p w14:paraId="74A3334C" w14:textId="6E47093A" w:rsidR="00D90A46" w:rsidRPr="00272BEF" w:rsidRDefault="00D90A46" w:rsidP="00F72A7F">
      <w:pPr>
        <w:pStyle w:val="ListParagraph"/>
        <w:numPr>
          <w:ilvl w:val="0"/>
          <w:numId w:val="93"/>
        </w:numPr>
      </w:pPr>
      <w:r w:rsidRPr="00272BEF">
        <w:t>More older participants moved to not wanting a job (15% versus 6%), possibly partly due to retirement</w:t>
      </w:r>
    </w:p>
    <w:p w14:paraId="33F3E831" w14:textId="77777777" w:rsidR="00D90A46" w:rsidRPr="00272BEF" w:rsidRDefault="00D90A46" w:rsidP="00F72A7F">
      <w:pPr>
        <w:pStyle w:val="Heading3"/>
      </w:pPr>
      <w:r w:rsidRPr="00272BEF">
        <w:t xml:space="preserve">In a paid job at baseline (top row in previous slide) </w:t>
      </w:r>
    </w:p>
    <w:p w14:paraId="2F1F63C3" w14:textId="16832802" w:rsidR="00D90A46" w:rsidRPr="00272BEF" w:rsidRDefault="00D90A46" w:rsidP="00F72A7F">
      <w:pPr>
        <w:pStyle w:val="ListParagraph"/>
        <w:numPr>
          <w:ilvl w:val="0"/>
          <w:numId w:val="94"/>
        </w:numPr>
      </w:pPr>
      <w:r w:rsidRPr="00272BEF">
        <w:t xml:space="preserve">81% of 15 to 24 year olds in this category were in a paid job at review </w:t>
      </w:r>
    </w:p>
    <w:p w14:paraId="62430003" w14:textId="36500490" w:rsidR="00D90A46" w:rsidRPr="00272BEF" w:rsidRDefault="00D90A46" w:rsidP="00F72A7F">
      <w:pPr>
        <w:pStyle w:val="ListParagraph"/>
        <w:numPr>
          <w:ilvl w:val="0"/>
          <w:numId w:val="94"/>
        </w:numPr>
      </w:pPr>
      <w:r w:rsidRPr="00272BEF">
        <w:t xml:space="preserve">91% of those 25 and over in this category were in a paid job at review </w:t>
      </w:r>
    </w:p>
    <w:p w14:paraId="3F645A91" w14:textId="469E849E" w:rsidR="00D90A46" w:rsidRPr="00272BEF" w:rsidRDefault="00D90A46" w:rsidP="00F72A7F">
      <w:pPr>
        <w:pStyle w:val="ListParagraph"/>
        <w:numPr>
          <w:ilvl w:val="0"/>
          <w:numId w:val="94"/>
        </w:numPr>
      </w:pPr>
      <w:r w:rsidRPr="00272BEF">
        <w:t>The higher percentage for older adults may be due to ADE employment</w:t>
      </w:r>
    </w:p>
    <w:p w14:paraId="07F34099" w14:textId="77777777" w:rsidR="00D90A46" w:rsidRPr="00272BEF" w:rsidRDefault="00D90A46" w:rsidP="00F72A7F">
      <w:pPr>
        <w:pStyle w:val="Heading3"/>
      </w:pPr>
      <w:r w:rsidRPr="00272BEF">
        <w:t xml:space="preserve">Not participating at baseline (bottom row in previous slide) </w:t>
      </w:r>
    </w:p>
    <w:p w14:paraId="1A01F1D8" w14:textId="5C361BA1" w:rsidR="00D90A46" w:rsidRPr="00272BEF" w:rsidRDefault="00D90A46" w:rsidP="00F72A7F">
      <w:pPr>
        <w:pStyle w:val="ListParagraph"/>
        <w:numPr>
          <w:ilvl w:val="0"/>
          <w:numId w:val="95"/>
        </w:numPr>
      </w:pPr>
      <w:r w:rsidRPr="00272BEF">
        <w:t xml:space="preserve">80% of 15 to 24 year olds in this category remained there at review </w:t>
      </w:r>
    </w:p>
    <w:p w14:paraId="57A7B127" w14:textId="7405768D" w:rsidR="00D90A46" w:rsidRPr="00272BEF" w:rsidRDefault="00D90A46" w:rsidP="00F72A7F">
      <w:pPr>
        <w:pStyle w:val="ListParagraph"/>
        <w:numPr>
          <w:ilvl w:val="0"/>
          <w:numId w:val="95"/>
        </w:numPr>
      </w:pPr>
      <w:r w:rsidRPr="00272BEF">
        <w:t xml:space="preserve">95% of those 25 and over in this category remained there at review </w:t>
      </w:r>
    </w:p>
    <w:p w14:paraId="5743FC29" w14:textId="32E79DBA" w:rsidR="00D90A46" w:rsidRPr="00272BEF" w:rsidRDefault="00D90A46" w:rsidP="00F72A7F">
      <w:pPr>
        <w:pStyle w:val="ListParagraph"/>
        <w:numPr>
          <w:ilvl w:val="0"/>
          <w:numId w:val="95"/>
        </w:numPr>
      </w:pPr>
      <w:r w:rsidRPr="00272BEF">
        <w:t>The lower percentage for younger adults may be due to finishing school</w:t>
      </w:r>
    </w:p>
    <w:p w14:paraId="7B868798" w14:textId="77777777" w:rsidR="00D90A46" w:rsidRPr="00DF0B0A" w:rsidRDefault="00D90A46" w:rsidP="00D90A46">
      <w:pPr>
        <w:pStyle w:val="Heading2"/>
      </w:pPr>
      <w:bookmarkStart w:id="55" w:name="_Toc14246984"/>
      <w:bookmarkStart w:id="56" w:name="_Toc14353941"/>
      <w:r>
        <w:t>Slide</w:t>
      </w:r>
      <w:r w:rsidRPr="00DF0B0A">
        <w:t xml:space="preserve"> 26: Key drivers of employment outcomes</w:t>
      </w:r>
      <w:bookmarkEnd w:id="55"/>
      <w:bookmarkEnd w:id="56"/>
    </w:p>
    <w:p w14:paraId="730CDEEE" w14:textId="77777777" w:rsidR="00D90A46" w:rsidRPr="00272BEF" w:rsidRDefault="00D90A46" w:rsidP="004E480C">
      <w:pPr>
        <w:pStyle w:val="Heading3"/>
      </w:pPr>
      <w:r w:rsidRPr="00272BEF">
        <w:t xml:space="preserve">Multiple logistic regression modelling has been used to identify key drivers of having a paid job at review, for the baseline groups: </w:t>
      </w:r>
    </w:p>
    <w:p w14:paraId="4FD15575" w14:textId="320A4983" w:rsidR="00D90A46" w:rsidRPr="00272BEF" w:rsidRDefault="00D90A46" w:rsidP="00FC1568">
      <w:pPr>
        <w:pStyle w:val="ListParagraph"/>
        <w:numPr>
          <w:ilvl w:val="0"/>
          <w:numId w:val="96"/>
        </w:numPr>
      </w:pPr>
      <w:r w:rsidRPr="00272BEF">
        <w:t xml:space="preserve">Job seekers aged 15 to 24 </w:t>
      </w:r>
    </w:p>
    <w:p w14:paraId="2CC8533B" w14:textId="1FA5FED6" w:rsidR="00D90A46" w:rsidRPr="00272BEF" w:rsidRDefault="00D90A46" w:rsidP="00FC1568">
      <w:pPr>
        <w:pStyle w:val="ListParagraph"/>
        <w:numPr>
          <w:ilvl w:val="0"/>
          <w:numId w:val="96"/>
        </w:numPr>
      </w:pPr>
      <w:r w:rsidRPr="00272BEF">
        <w:t xml:space="preserve">Job seekers aged 25 and over </w:t>
      </w:r>
    </w:p>
    <w:p w14:paraId="1C2DBD3A" w14:textId="090682C9" w:rsidR="00D90A46" w:rsidRPr="00272BEF" w:rsidRDefault="00D90A46" w:rsidP="00FC1568">
      <w:pPr>
        <w:pStyle w:val="ListParagraph"/>
        <w:numPr>
          <w:ilvl w:val="0"/>
          <w:numId w:val="96"/>
        </w:numPr>
      </w:pPr>
      <w:r w:rsidRPr="00272BEF">
        <w:t xml:space="preserve">In a paid job – mainstream employment </w:t>
      </w:r>
    </w:p>
    <w:p w14:paraId="21C115CA" w14:textId="36076049" w:rsidR="00D90A46" w:rsidRPr="00272BEF" w:rsidRDefault="00D90A46" w:rsidP="00FC1568">
      <w:pPr>
        <w:pStyle w:val="ListParagraph"/>
        <w:numPr>
          <w:ilvl w:val="0"/>
          <w:numId w:val="96"/>
        </w:numPr>
      </w:pPr>
      <w:r w:rsidRPr="00272BEF">
        <w:t>In a paid job – Australian Disability Enterprise (ADE) employment</w:t>
      </w:r>
    </w:p>
    <w:p w14:paraId="076DB74F" w14:textId="77777777" w:rsidR="00D90A46" w:rsidRPr="00272BEF" w:rsidRDefault="00D90A46" w:rsidP="00FC1568">
      <w:r w:rsidRPr="00272BEF">
        <w:t>Note that a participant may have been in and out of employment multiple times between baseline and review, but we only know their employment status at the start and end points (we have interval censored response data).</w:t>
      </w:r>
    </w:p>
    <w:p w14:paraId="171E0BC5" w14:textId="63A48C21" w:rsidR="00D90A46" w:rsidRPr="00272BEF" w:rsidRDefault="00D90A46" w:rsidP="00FC1568">
      <w:r w:rsidRPr="00272BEF">
        <w:t xml:space="preserve">In this presentation we consider the two “job seeker at baseline” groups, that is, those who said </w:t>
      </w:r>
      <w:r w:rsidR="00060BF7">
        <w:t xml:space="preserve">at baseline that </w:t>
      </w:r>
      <w:r w:rsidRPr="00272BEF">
        <w:t>they did not have a paid job but would like one.</w:t>
      </w:r>
    </w:p>
    <w:p w14:paraId="76B655A3" w14:textId="77777777" w:rsidR="00D90A46" w:rsidRPr="00272BEF" w:rsidRDefault="00D90A46" w:rsidP="004E480C">
      <w:pPr>
        <w:pStyle w:val="Heading3"/>
      </w:pPr>
      <w:r w:rsidRPr="00272BEF">
        <w:t>Factors investigated in the multiple logistic regression models included:</w:t>
      </w:r>
    </w:p>
    <w:p w14:paraId="4C003C95" w14:textId="77777777" w:rsidR="00D90A46" w:rsidRPr="00272BEF" w:rsidRDefault="00D90A46" w:rsidP="004E480C">
      <w:pPr>
        <w:pStyle w:val="ListParagraph"/>
        <w:numPr>
          <w:ilvl w:val="0"/>
          <w:numId w:val="97"/>
        </w:numPr>
      </w:pPr>
      <w:r w:rsidRPr="00272BEF">
        <w:lastRenderedPageBreak/>
        <w:t xml:space="preserve">Baseline participant characteristics, such as entry age, gender, level of function, Indigenous status, CALD status, education, geographical characteristics, </w:t>
      </w:r>
      <w:proofErr w:type="gramStart"/>
      <w:r w:rsidRPr="00272BEF">
        <w:t>baseline</w:t>
      </w:r>
      <w:proofErr w:type="gramEnd"/>
      <w:r w:rsidRPr="00272BEF">
        <w:t xml:space="preserve"> SF outcomes framework responses.</w:t>
      </w:r>
    </w:p>
    <w:p w14:paraId="40210F66" w14:textId="77777777" w:rsidR="00D90A46" w:rsidRPr="00272BEF" w:rsidRDefault="00D90A46" w:rsidP="004E480C">
      <w:pPr>
        <w:pStyle w:val="ListParagraph"/>
        <w:numPr>
          <w:ilvl w:val="0"/>
          <w:numId w:val="97"/>
        </w:numPr>
      </w:pPr>
      <w:r w:rsidRPr="00272BEF">
        <w:t>Baseline NDIS plan characteristics, such as work goals, employment funding.</w:t>
      </w:r>
    </w:p>
    <w:p w14:paraId="4F588BC7" w14:textId="77777777" w:rsidR="00D90A46" w:rsidRPr="00272BEF" w:rsidRDefault="00D90A46" w:rsidP="004E480C">
      <w:pPr>
        <w:pStyle w:val="ListParagraph"/>
        <w:numPr>
          <w:ilvl w:val="0"/>
          <w:numId w:val="97"/>
        </w:numPr>
      </w:pPr>
      <w:r w:rsidRPr="00272BEF">
        <w:t>Change in SF outcomes framework key indicators between baseline and review.</w:t>
      </w:r>
    </w:p>
    <w:p w14:paraId="30C57770" w14:textId="77777777" w:rsidR="00D90A46" w:rsidRPr="00DF0B0A" w:rsidRDefault="00D90A46" w:rsidP="00D90A46">
      <w:pPr>
        <w:pStyle w:val="Heading2"/>
      </w:pPr>
      <w:bookmarkStart w:id="57" w:name="_Toc14246985"/>
      <w:bookmarkStart w:id="58" w:name="_Toc14353942"/>
      <w:r>
        <w:t>Slide</w:t>
      </w:r>
      <w:r w:rsidRPr="00DF0B0A">
        <w:t xml:space="preserve"> 27: Job seekers - Success rates by type of employment at review</w:t>
      </w:r>
      <w:bookmarkEnd w:id="57"/>
      <w:bookmarkEnd w:id="58"/>
    </w:p>
    <w:p w14:paraId="2283C5B4" w14:textId="77777777" w:rsidR="00D90A46" w:rsidRPr="00272BEF" w:rsidRDefault="00D90A46" w:rsidP="004E480C">
      <w:r w:rsidRPr="00272BEF">
        <w:t>A chart displays the employment success rate by type of employment, either in open employment or in ADE.</w:t>
      </w:r>
    </w:p>
    <w:p w14:paraId="34443ED7" w14:textId="4B86B20E" w:rsidR="00D90A46" w:rsidRPr="00272BEF" w:rsidRDefault="00D90A46" w:rsidP="004E480C">
      <w:r w:rsidRPr="00272BEF">
        <w:t xml:space="preserve">Overall, 11.6% of 15 to 24 year olds and 6.6% of those aged 25 and over successfully transitioned from “job seeker” to “in a paid job”. </w:t>
      </w:r>
    </w:p>
    <w:p w14:paraId="392B9DA4" w14:textId="77777777" w:rsidR="00D90A46" w:rsidRPr="00272BEF" w:rsidRDefault="00D90A46" w:rsidP="004E480C">
      <w:r w:rsidRPr="00272BEF">
        <w:t xml:space="preserve">9.2% of young adult job seekers were in mainstream employment at review – 80% of those in a paid job at review. </w:t>
      </w:r>
    </w:p>
    <w:p w14:paraId="594B66C2" w14:textId="77777777" w:rsidR="00D90A46" w:rsidRPr="00272BEF" w:rsidRDefault="00D90A46" w:rsidP="004E480C">
      <w:r w:rsidRPr="00272BEF">
        <w:t>4.9% of older adult job seekers were in mainstream employment at review – 74% of those in a paid job at review.</w:t>
      </w:r>
    </w:p>
    <w:p w14:paraId="2419BD87" w14:textId="77777777" w:rsidR="00C76376" w:rsidRPr="00DF0B0A" w:rsidRDefault="00C76376" w:rsidP="00C76376">
      <w:pPr>
        <w:pStyle w:val="Heading2"/>
      </w:pPr>
      <w:bookmarkStart w:id="59" w:name="_Toc14246986"/>
      <w:bookmarkStart w:id="60" w:name="_Toc14353943"/>
      <w:r>
        <w:t>Slide</w:t>
      </w:r>
      <w:r w:rsidRPr="00DF0B0A">
        <w:t xml:space="preserve"> 28: Job seekers aged 15 to 24 - Key drivers of employment success</w:t>
      </w:r>
      <w:bookmarkEnd w:id="59"/>
      <w:bookmarkEnd w:id="60"/>
    </w:p>
    <w:p w14:paraId="0A88B39F" w14:textId="77777777" w:rsidR="00C76376" w:rsidRPr="00272BEF" w:rsidRDefault="00C76376" w:rsidP="00C76376">
      <w:pPr>
        <w:pStyle w:val="Heading3"/>
      </w:pPr>
      <w:r w:rsidRPr="00272BEF">
        <w:t>Positively associated with having a paid job at review:</w:t>
      </w:r>
    </w:p>
    <w:p w14:paraId="395F8A7E" w14:textId="77777777" w:rsidR="00C76376" w:rsidRPr="00272BEF" w:rsidRDefault="00C76376" w:rsidP="00721840">
      <w:pPr>
        <w:pStyle w:val="ListParagraph"/>
        <w:numPr>
          <w:ilvl w:val="0"/>
          <w:numId w:val="98"/>
        </w:numPr>
      </w:pPr>
      <w:r w:rsidRPr="00272BEF">
        <w:t xml:space="preserve">Highest education level </w:t>
      </w:r>
    </w:p>
    <w:p w14:paraId="2150D24D" w14:textId="77777777" w:rsidR="00C76376" w:rsidRPr="00272BEF" w:rsidRDefault="00C76376" w:rsidP="00721840">
      <w:pPr>
        <w:pStyle w:val="ListParagraph"/>
        <w:numPr>
          <w:ilvl w:val="0"/>
          <w:numId w:val="98"/>
        </w:numPr>
      </w:pPr>
      <w:r w:rsidRPr="00272BEF">
        <w:t xml:space="preserve">Lives in QLD </w:t>
      </w:r>
    </w:p>
    <w:p w14:paraId="34A0953C" w14:textId="77777777" w:rsidR="00C76376" w:rsidRPr="00272BEF" w:rsidRDefault="00C76376" w:rsidP="00721840">
      <w:pPr>
        <w:pStyle w:val="ListParagraph"/>
        <w:numPr>
          <w:ilvl w:val="0"/>
          <w:numId w:val="98"/>
        </w:numPr>
      </w:pPr>
      <w:r w:rsidRPr="00272BEF">
        <w:t xml:space="preserve">Number of daily living activities where the participant requires support improves by two or more between baseline and review </w:t>
      </w:r>
    </w:p>
    <w:p w14:paraId="0F8A00A8" w14:textId="77777777" w:rsidR="00C76376" w:rsidRPr="00272BEF" w:rsidRDefault="00C76376" w:rsidP="00721840">
      <w:pPr>
        <w:pStyle w:val="ListParagraph"/>
        <w:numPr>
          <w:ilvl w:val="0"/>
          <w:numId w:val="98"/>
        </w:numPr>
      </w:pPr>
      <w:r w:rsidRPr="00272BEF">
        <w:t>Started, left or continued to be involved in a general community group at review</w:t>
      </w:r>
    </w:p>
    <w:p w14:paraId="3C47E90D" w14:textId="77777777" w:rsidR="00C76376" w:rsidRPr="00272BEF" w:rsidRDefault="00C76376" w:rsidP="00721840">
      <w:pPr>
        <w:pStyle w:val="ListParagraph"/>
        <w:numPr>
          <w:ilvl w:val="0"/>
          <w:numId w:val="98"/>
        </w:numPr>
      </w:pPr>
      <w:r w:rsidRPr="00272BEF">
        <w:t xml:space="preserve">Left an unpaid job between baseline and review (i.e. participant was in an unpaid job at baseline but not at review) </w:t>
      </w:r>
    </w:p>
    <w:p w14:paraId="2DC45E28" w14:textId="77777777" w:rsidR="00C76376" w:rsidRPr="00272BEF" w:rsidRDefault="00C76376" w:rsidP="00721840">
      <w:pPr>
        <w:pStyle w:val="ListParagraph"/>
        <w:numPr>
          <w:ilvl w:val="0"/>
          <w:numId w:val="98"/>
        </w:numPr>
      </w:pPr>
      <w:r w:rsidRPr="00272BEF">
        <w:t xml:space="preserve">Participant’s ability to choose what they do each day improves between baseline and review </w:t>
      </w:r>
    </w:p>
    <w:p w14:paraId="615CF47A" w14:textId="77777777" w:rsidR="00C76376" w:rsidRPr="00272BEF" w:rsidRDefault="00C76376" w:rsidP="00721840">
      <w:pPr>
        <w:pStyle w:val="ListParagraph"/>
        <w:numPr>
          <w:ilvl w:val="0"/>
          <w:numId w:val="98"/>
        </w:numPr>
      </w:pPr>
      <w:r w:rsidRPr="00272BEF">
        <w:t>Participant has got to know people in the community at review</w:t>
      </w:r>
    </w:p>
    <w:p w14:paraId="7B0C09A3" w14:textId="77777777" w:rsidR="00721840" w:rsidRPr="00DF0B0A" w:rsidRDefault="00721840" w:rsidP="00721840">
      <w:pPr>
        <w:pStyle w:val="Heading2"/>
      </w:pPr>
      <w:bookmarkStart w:id="61" w:name="_Toc14246987"/>
      <w:bookmarkStart w:id="62" w:name="_Toc14353944"/>
      <w:r>
        <w:t>Slide</w:t>
      </w:r>
      <w:r w:rsidRPr="00DF0B0A">
        <w:t xml:space="preserve"> 29: Job seekers aged 15 to 24 - Key drivers of employment success</w:t>
      </w:r>
      <w:bookmarkEnd w:id="61"/>
      <w:bookmarkEnd w:id="62"/>
    </w:p>
    <w:p w14:paraId="17DAAB60" w14:textId="77777777" w:rsidR="00721840" w:rsidRPr="00272BEF" w:rsidRDefault="00721840" w:rsidP="00721840">
      <w:pPr>
        <w:pStyle w:val="Heading3"/>
      </w:pPr>
      <w:r w:rsidRPr="00272BEF">
        <w:t>Negatively associated with having a paid job at review:</w:t>
      </w:r>
    </w:p>
    <w:p w14:paraId="3AED50C6" w14:textId="77777777" w:rsidR="00721840" w:rsidRPr="00272BEF" w:rsidRDefault="00721840" w:rsidP="00721840">
      <w:pPr>
        <w:pStyle w:val="ListParagraph"/>
        <w:numPr>
          <w:ilvl w:val="0"/>
          <w:numId w:val="99"/>
        </w:numPr>
      </w:pPr>
      <w:r w:rsidRPr="00272BEF">
        <w:t xml:space="preserve">Number of daily living activities where the participant requires support </w:t>
      </w:r>
      <w:r w:rsidRPr="00721840">
        <w:rPr>
          <w:b/>
          <w:bCs/>
        </w:rPr>
        <w:t xml:space="preserve">at baseline </w:t>
      </w:r>
    </w:p>
    <w:p w14:paraId="3D40A009" w14:textId="77777777" w:rsidR="00721840" w:rsidRPr="00272BEF" w:rsidRDefault="00721840" w:rsidP="00721840">
      <w:pPr>
        <w:pStyle w:val="ListParagraph"/>
        <w:numPr>
          <w:ilvl w:val="0"/>
          <w:numId w:val="99"/>
        </w:numPr>
      </w:pPr>
      <w:r w:rsidRPr="00272BEF">
        <w:t xml:space="preserve">Streaming type is intensive or super intensive </w:t>
      </w:r>
    </w:p>
    <w:p w14:paraId="73484685" w14:textId="77777777" w:rsidR="00721840" w:rsidRPr="00272BEF" w:rsidRDefault="00721840" w:rsidP="00721840">
      <w:pPr>
        <w:pStyle w:val="ListParagraph"/>
        <w:numPr>
          <w:ilvl w:val="0"/>
          <w:numId w:val="99"/>
        </w:numPr>
      </w:pPr>
      <w:r w:rsidRPr="00272BEF">
        <w:t>High unemployment rate in participant’s LGA (8% or higher)</w:t>
      </w:r>
    </w:p>
    <w:p w14:paraId="36C64092" w14:textId="77777777" w:rsidR="00721840" w:rsidRPr="00272BEF" w:rsidRDefault="00721840" w:rsidP="00721840">
      <w:pPr>
        <w:pStyle w:val="ListParagraph"/>
        <w:numPr>
          <w:ilvl w:val="0"/>
          <w:numId w:val="99"/>
        </w:numPr>
      </w:pPr>
      <w:r w:rsidRPr="00272BEF">
        <w:t xml:space="preserve">Increase of two or more in the number of daily living activities where the participant requires support between baseline and review </w:t>
      </w:r>
    </w:p>
    <w:p w14:paraId="6EA7FC60" w14:textId="77777777" w:rsidR="00721840" w:rsidRPr="00272BEF" w:rsidRDefault="00721840" w:rsidP="00721840">
      <w:pPr>
        <w:pStyle w:val="ListParagraph"/>
        <w:numPr>
          <w:ilvl w:val="0"/>
          <w:numId w:val="99"/>
        </w:numPr>
      </w:pPr>
      <w:r w:rsidRPr="00272BEF">
        <w:t>Participant was in an unpaid job at both baseline and review, or started volunteering (i.e. did not volunteer at baseline but did volunteer at review)</w:t>
      </w:r>
    </w:p>
    <w:p w14:paraId="6C4FEA7F" w14:textId="77777777" w:rsidR="00721840" w:rsidRPr="00DF0B0A" w:rsidRDefault="00721840" w:rsidP="00721840">
      <w:pPr>
        <w:pStyle w:val="Heading2"/>
      </w:pPr>
      <w:bookmarkStart w:id="63" w:name="_Toc14246988"/>
      <w:bookmarkStart w:id="64" w:name="_Toc14353945"/>
      <w:r>
        <w:t>Slide</w:t>
      </w:r>
      <w:r w:rsidRPr="00DF0B0A">
        <w:t xml:space="preserve"> 30: Job seekers aged 15 to 24 - Number of daily living activities where participant requires support</w:t>
      </w:r>
      <w:bookmarkEnd w:id="63"/>
      <w:bookmarkEnd w:id="64"/>
    </w:p>
    <w:p w14:paraId="452D09D2" w14:textId="77777777" w:rsidR="00060BF7" w:rsidRDefault="00721840" w:rsidP="00721840">
      <w:r w:rsidRPr="00272BEF">
        <w:t xml:space="preserve">Two charts </w:t>
      </w:r>
      <w:r w:rsidR="00B60690">
        <w:t>show</w:t>
      </w:r>
      <w:r w:rsidRPr="00272BEF">
        <w:t xml:space="preserve"> the employment success rate of participants based on the number of daily living activities where the participant requires support. </w:t>
      </w:r>
    </w:p>
    <w:p w14:paraId="50E3EDCA" w14:textId="297D1CD0" w:rsidR="00721840" w:rsidRPr="00272BEF" w:rsidRDefault="00721840" w:rsidP="00721840">
      <w:r w:rsidRPr="00272BEF">
        <w:t xml:space="preserve">The first chart </w:t>
      </w:r>
      <w:r w:rsidR="00B60690">
        <w:t>show</w:t>
      </w:r>
      <w:r w:rsidRPr="00272BEF">
        <w:t>s the employment success rate b</w:t>
      </w:r>
      <w:r w:rsidR="00060BF7">
        <w:t>y</w:t>
      </w:r>
      <w:r w:rsidRPr="00272BEF">
        <w:t xml:space="preserve"> the number of daily living activities where the participant requires support at baseline.</w:t>
      </w:r>
      <w:r w:rsidR="00060BF7">
        <w:t xml:space="preserve"> </w:t>
      </w:r>
      <w:r w:rsidR="00060BF7" w:rsidRPr="00272BEF">
        <w:t>The employment success rate decreases as the number of areas increases. This may be capturing the effect of level of function and/or level of independence.</w:t>
      </w:r>
    </w:p>
    <w:p w14:paraId="2063DDD4" w14:textId="02F8758B" w:rsidR="00721840" w:rsidRPr="00272BEF" w:rsidRDefault="00721840" w:rsidP="00721840">
      <w:r w:rsidRPr="00272BEF">
        <w:t xml:space="preserve">The second </w:t>
      </w:r>
      <w:r w:rsidR="00060BF7">
        <w:t xml:space="preserve">chart </w:t>
      </w:r>
      <w:r w:rsidR="00B60690">
        <w:t>show</w:t>
      </w:r>
      <w:r w:rsidRPr="00272BEF">
        <w:t>s the employment success rate b</w:t>
      </w:r>
      <w:r w:rsidR="00060BF7">
        <w:t>y</w:t>
      </w:r>
      <w:r w:rsidRPr="00272BEF">
        <w:t xml:space="preserve"> the change in the number of daily living activities where the participant requires support</w:t>
      </w:r>
      <w:r w:rsidR="00060BF7">
        <w:t xml:space="preserve"> between baseline and review</w:t>
      </w:r>
      <w:r w:rsidRPr="00272BEF">
        <w:t>.</w:t>
      </w:r>
      <w:r w:rsidR="00060BF7">
        <w:t xml:space="preserve"> </w:t>
      </w:r>
      <w:r w:rsidRPr="00272BEF">
        <w:t>The employment success rate is higher when the participant is able to increase their level of capacity and independence through their involvement with the NDIS.</w:t>
      </w:r>
    </w:p>
    <w:p w14:paraId="49FEE123" w14:textId="77777777" w:rsidR="00721840" w:rsidRPr="00DF0B0A" w:rsidRDefault="00721840" w:rsidP="00721840">
      <w:pPr>
        <w:pStyle w:val="Heading2"/>
      </w:pPr>
      <w:bookmarkStart w:id="65" w:name="_Toc14246989"/>
      <w:bookmarkStart w:id="66" w:name="_Toc14353946"/>
      <w:r>
        <w:t>Slide</w:t>
      </w:r>
      <w:r w:rsidRPr="00DF0B0A">
        <w:t xml:space="preserve"> 31: Job seekers aged 15 to 24 - Involvement in a general community group / unpaid work</w:t>
      </w:r>
      <w:bookmarkEnd w:id="65"/>
      <w:bookmarkEnd w:id="66"/>
    </w:p>
    <w:p w14:paraId="520FE31D" w14:textId="59083C38" w:rsidR="00721840" w:rsidRPr="00272BEF" w:rsidRDefault="00721840" w:rsidP="00721840">
      <w:r w:rsidRPr="00272BEF">
        <w:t xml:space="preserve">Two charts </w:t>
      </w:r>
      <w:r w:rsidR="00B60690">
        <w:t>show</w:t>
      </w:r>
      <w:r w:rsidRPr="00272BEF">
        <w:t xml:space="preserve"> the employment success rate based on the participant’s involvement in a general community group or unpaid work.</w:t>
      </w:r>
    </w:p>
    <w:p w14:paraId="47B631FA" w14:textId="77777777" w:rsidR="00E10514" w:rsidRPr="00272BEF" w:rsidRDefault="00721840" w:rsidP="00E10514">
      <w:r w:rsidRPr="00272BEF">
        <w:t xml:space="preserve">The first chart </w:t>
      </w:r>
      <w:r w:rsidR="00B60690">
        <w:t>show</w:t>
      </w:r>
      <w:r w:rsidRPr="00272BEF">
        <w:t>s the employment success rate based on the participant’s involvement in a general community group.</w:t>
      </w:r>
      <w:r w:rsidR="00E10514">
        <w:t xml:space="preserve"> </w:t>
      </w:r>
      <w:r w:rsidR="00E10514" w:rsidRPr="00272BEF">
        <w:t>Involvement in a community group is associated with better employment outcomes. Those who left a group may have done so because they got a job and have less time to participate, explaining their higher employment success rate.</w:t>
      </w:r>
    </w:p>
    <w:p w14:paraId="76A60F6A" w14:textId="566C4CB3" w:rsidR="00721840" w:rsidRPr="00272BEF" w:rsidRDefault="00721840" w:rsidP="00721840">
      <w:r w:rsidRPr="00272BEF">
        <w:t xml:space="preserve">The second chart </w:t>
      </w:r>
      <w:r w:rsidR="00B60690">
        <w:t>show</w:t>
      </w:r>
      <w:r w:rsidRPr="00272BEF">
        <w:t>s the employment success rate based on the participant’s involvement in unpaid work.</w:t>
      </w:r>
      <w:r w:rsidR="00E10514">
        <w:t xml:space="preserve"> </w:t>
      </w:r>
      <w:r w:rsidRPr="00272BEF">
        <w:t>Participants who leave an unpaid job have greater employment success as they are likely to have replaced their positions with paid work. Those remaining in an unpaid job have significantly lower rates of paid employment at review.</w:t>
      </w:r>
    </w:p>
    <w:p w14:paraId="2D541F25" w14:textId="77777777" w:rsidR="00721840" w:rsidRPr="00DF0B0A" w:rsidRDefault="00721840" w:rsidP="00721840">
      <w:pPr>
        <w:pStyle w:val="Heading2"/>
      </w:pPr>
      <w:bookmarkStart w:id="67" w:name="_Toc14246990"/>
      <w:bookmarkStart w:id="68" w:name="_Toc14353947"/>
      <w:r>
        <w:t>Slide</w:t>
      </w:r>
      <w:r w:rsidRPr="00DF0B0A">
        <w:t xml:space="preserve"> 32: Job seekers aged 25 and over - Key drivers of employment success</w:t>
      </w:r>
      <w:bookmarkEnd w:id="67"/>
      <w:bookmarkEnd w:id="68"/>
    </w:p>
    <w:p w14:paraId="0F3BA703" w14:textId="77777777" w:rsidR="00721840" w:rsidRPr="00272BEF" w:rsidRDefault="00721840" w:rsidP="00721840">
      <w:pPr>
        <w:pStyle w:val="Heading3"/>
      </w:pPr>
      <w:r w:rsidRPr="00272BEF">
        <w:t>Positively associated with having a paid job at review:</w:t>
      </w:r>
    </w:p>
    <w:p w14:paraId="7E82C606" w14:textId="77777777" w:rsidR="00721840" w:rsidRPr="00272BEF" w:rsidRDefault="00721840" w:rsidP="00721840">
      <w:pPr>
        <w:pStyle w:val="ListParagraph"/>
        <w:numPr>
          <w:ilvl w:val="0"/>
          <w:numId w:val="100"/>
        </w:numPr>
      </w:pPr>
      <w:r w:rsidRPr="00272BEF">
        <w:t xml:space="preserve">Has university qualification </w:t>
      </w:r>
    </w:p>
    <w:p w14:paraId="79F3CD43" w14:textId="77777777" w:rsidR="00721840" w:rsidRPr="00272BEF" w:rsidRDefault="00721840" w:rsidP="00721840">
      <w:pPr>
        <w:pStyle w:val="ListParagraph"/>
        <w:numPr>
          <w:ilvl w:val="0"/>
          <w:numId w:val="100"/>
        </w:numPr>
      </w:pPr>
      <w:r w:rsidRPr="00272BEF">
        <w:t xml:space="preserve">Left study during plan period </w:t>
      </w:r>
    </w:p>
    <w:p w14:paraId="19167190" w14:textId="77777777" w:rsidR="00721840" w:rsidRPr="00272BEF" w:rsidRDefault="00721840" w:rsidP="00721840">
      <w:pPr>
        <w:pStyle w:val="ListParagraph"/>
        <w:numPr>
          <w:ilvl w:val="0"/>
          <w:numId w:val="100"/>
        </w:numPr>
      </w:pPr>
      <w:r w:rsidRPr="00272BEF">
        <w:t xml:space="preserve">Has intellectual disability </w:t>
      </w:r>
    </w:p>
    <w:p w14:paraId="0D0F5C49" w14:textId="77777777" w:rsidR="00721840" w:rsidRPr="00272BEF" w:rsidRDefault="00721840" w:rsidP="00721840">
      <w:pPr>
        <w:pStyle w:val="ListParagraph"/>
        <w:numPr>
          <w:ilvl w:val="0"/>
          <w:numId w:val="100"/>
        </w:numPr>
      </w:pPr>
      <w:r w:rsidRPr="00272BEF">
        <w:t xml:space="preserve">Lives with partner and children </w:t>
      </w:r>
    </w:p>
    <w:p w14:paraId="21540E20" w14:textId="77777777" w:rsidR="00721840" w:rsidRPr="00272BEF" w:rsidRDefault="00721840" w:rsidP="00721840">
      <w:pPr>
        <w:pStyle w:val="ListParagraph"/>
        <w:numPr>
          <w:ilvl w:val="0"/>
          <w:numId w:val="100"/>
        </w:numPr>
      </w:pPr>
      <w:r w:rsidRPr="00272BEF">
        <w:t xml:space="preserve">Lives in VIC </w:t>
      </w:r>
    </w:p>
    <w:p w14:paraId="30AE9E8B" w14:textId="77777777" w:rsidR="00721840" w:rsidRPr="00272BEF" w:rsidRDefault="00721840" w:rsidP="00721840">
      <w:pPr>
        <w:pStyle w:val="ListParagraph"/>
        <w:numPr>
          <w:ilvl w:val="0"/>
          <w:numId w:val="100"/>
        </w:numPr>
      </w:pPr>
      <w:r w:rsidRPr="00272BEF">
        <w:t xml:space="preserve">Participant has work goal in their plan </w:t>
      </w:r>
    </w:p>
    <w:p w14:paraId="360507D3" w14:textId="77777777" w:rsidR="00721840" w:rsidRPr="00272BEF" w:rsidRDefault="00721840" w:rsidP="00721840">
      <w:pPr>
        <w:pStyle w:val="ListParagraph"/>
        <w:numPr>
          <w:ilvl w:val="0"/>
          <w:numId w:val="100"/>
        </w:numPr>
      </w:pPr>
      <w:r w:rsidRPr="00272BEF">
        <w:t xml:space="preserve">Participant has NDIS employment funding in their plan </w:t>
      </w:r>
    </w:p>
    <w:p w14:paraId="7A09EE82" w14:textId="77777777" w:rsidR="00721840" w:rsidRPr="00272BEF" w:rsidRDefault="00721840" w:rsidP="00721840">
      <w:pPr>
        <w:pStyle w:val="ListParagraph"/>
        <w:numPr>
          <w:ilvl w:val="0"/>
          <w:numId w:val="100"/>
        </w:numPr>
      </w:pPr>
      <w:r w:rsidRPr="00272BEF">
        <w:t xml:space="preserve">Participant’s self-assessment of their health has improved </w:t>
      </w:r>
    </w:p>
    <w:p w14:paraId="6A0FEEA7" w14:textId="77777777" w:rsidR="00721840" w:rsidRPr="00272BEF" w:rsidRDefault="00721840" w:rsidP="00721840">
      <w:pPr>
        <w:pStyle w:val="ListParagraph"/>
        <w:numPr>
          <w:ilvl w:val="0"/>
          <w:numId w:val="100"/>
        </w:numPr>
      </w:pPr>
      <w:r w:rsidRPr="00272BEF">
        <w:t>Started or left an unpaid job</w:t>
      </w:r>
    </w:p>
    <w:p w14:paraId="3881C407" w14:textId="77777777" w:rsidR="00721840" w:rsidRPr="00DF0B0A" w:rsidRDefault="00721840" w:rsidP="00721840">
      <w:pPr>
        <w:pStyle w:val="Heading2"/>
      </w:pPr>
      <w:bookmarkStart w:id="69" w:name="_Toc14246991"/>
      <w:bookmarkStart w:id="70" w:name="_Toc14353948"/>
      <w:r>
        <w:t>Slide</w:t>
      </w:r>
      <w:r w:rsidRPr="00DF0B0A">
        <w:t xml:space="preserve"> 33: Job seekers aged 25 and over - Key drivers of employment success</w:t>
      </w:r>
      <w:bookmarkEnd w:id="69"/>
      <w:bookmarkEnd w:id="70"/>
    </w:p>
    <w:p w14:paraId="654A1F07" w14:textId="77777777" w:rsidR="00721840" w:rsidRPr="00272BEF" w:rsidRDefault="00721840" w:rsidP="00721840">
      <w:pPr>
        <w:pStyle w:val="Heading3"/>
      </w:pPr>
      <w:r w:rsidRPr="00272BEF">
        <w:t>Negatively associated with having a paid job at review:</w:t>
      </w:r>
    </w:p>
    <w:p w14:paraId="679539A4" w14:textId="77777777" w:rsidR="00721840" w:rsidRPr="00272BEF" w:rsidRDefault="00721840" w:rsidP="00721840">
      <w:pPr>
        <w:pStyle w:val="ListParagraph"/>
        <w:numPr>
          <w:ilvl w:val="0"/>
          <w:numId w:val="101"/>
        </w:numPr>
      </w:pPr>
      <w:r w:rsidRPr="00272BEF">
        <w:t xml:space="preserve">Number of daily living activities where the participant requires support at </w:t>
      </w:r>
      <w:r w:rsidRPr="00721840">
        <w:rPr>
          <w:b/>
          <w:bCs/>
        </w:rPr>
        <w:t xml:space="preserve">baseline </w:t>
      </w:r>
    </w:p>
    <w:p w14:paraId="62D12A35" w14:textId="77777777" w:rsidR="00721840" w:rsidRPr="00272BEF" w:rsidRDefault="00721840" w:rsidP="00721840">
      <w:pPr>
        <w:pStyle w:val="ListParagraph"/>
        <w:numPr>
          <w:ilvl w:val="0"/>
          <w:numId w:val="101"/>
        </w:numPr>
      </w:pPr>
      <w:r w:rsidRPr="00272BEF">
        <w:t xml:space="preserve">Lower level of function (success rate decreases as severity score (1 to 15) increases) </w:t>
      </w:r>
    </w:p>
    <w:p w14:paraId="0D4D2719" w14:textId="77777777" w:rsidR="00721840" w:rsidRPr="00272BEF" w:rsidRDefault="00721840" w:rsidP="00721840">
      <w:pPr>
        <w:pStyle w:val="ListParagraph"/>
        <w:numPr>
          <w:ilvl w:val="0"/>
          <w:numId w:val="101"/>
        </w:numPr>
      </w:pPr>
      <w:r w:rsidRPr="00272BEF">
        <w:t xml:space="preserve">Culturally and linguistically diverse (CALD) background </w:t>
      </w:r>
    </w:p>
    <w:p w14:paraId="63E19683" w14:textId="77777777" w:rsidR="00721840" w:rsidRPr="00272BEF" w:rsidRDefault="00721840" w:rsidP="00721840">
      <w:pPr>
        <w:pStyle w:val="ListParagraph"/>
        <w:numPr>
          <w:ilvl w:val="0"/>
          <w:numId w:val="101"/>
        </w:numPr>
      </w:pPr>
      <w:r w:rsidRPr="00272BEF">
        <w:t xml:space="preserve">Entry age is between 55 and 59 </w:t>
      </w:r>
    </w:p>
    <w:p w14:paraId="605814C7" w14:textId="77777777" w:rsidR="00721840" w:rsidRPr="00272BEF" w:rsidRDefault="00721840" w:rsidP="00721840">
      <w:pPr>
        <w:pStyle w:val="ListParagraph"/>
        <w:numPr>
          <w:ilvl w:val="0"/>
          <w:numId w:val="101"/>
        </w:numPr>
      </w:pPr>
      <w:r w:rsidRPr="00272BEF">
        <w:t>Participant doesn’t know people in the community at baseline and review</w:t>
      </w:r>
    </w:p>
    <w:p w14:paraId="21C91D81" w14:textId="77777777" w:rsidR="00670764" w:rsidRPr="00DF0B0A" w:rsidRDefault="00670764" w:rsidP="00670764">
      <w:pPr>
        <w:pStyle w:val="Heading2"/>
      </w:pPr>
      <w:bookmarkStart w:id="71" w:name="_Toc14246992"/>
      <w:bookmarkStart w:id="72" w:name="_Toc14353949"/>
      <w:r>
        <w:t>Slide</w:t>
      </w:r>
      <w:r w:rsidRPr="00DF0B0A">
        <w:t xml:space="preserve"> 34: Job seekers aged 25 and over - Change in self-assessed health between baseline and review</w:t>
      </w:r>
      <w:bookmarkEnd w:id="71"/>
      <w:bookmarkEnd w:id="72"/>
    </w:p>
    <w:p w14:paraId="3B7DA4F9" w14:textId="307029A8" w:rsidR="00670764" w:rsidRPr="00272BEF" w:rsidRDefault="00670764" w:rsidP="00670764">
      <w:r w:rsidRPr="00272BEF">
        <w:t xml:space="preserve">A chart </w:t>
      </w:r>
      <w:r w:rsidR="00B60690">
        <w:t>show</w:t>
      </w:r>
      <w:r w:rsidRPr="00272BEF">
        <w:t>s the employment success rate based on the change in self-assessed health between baseline and review.</w:t>
      </w:r>
    </w:p>
    <w:p w14:paraId="5E2EA664" w14:textId="77777777" w:rsidR="00670764" w:rsidRPr="00272BEF" w:rsidRDefault="00670764" w:rsidP="00670764">
      <w:r w:rsidRPr="00272BEF">
        <w:t>Improvement in a participant’s health status over the plan period has a positive impact on employment success.</w:t>
      </w:r>
    </w:p>
    <w:p w14:paraId="57FC1F6C" w14:textId="77777777" w:rsidR="00670764" w:rsidRPr="00DF0B0A" w:rsidRDefault="00670764" w:rsidP="00670764">
      <w:pPr>
        <w:pStyle w:val="Heading2"/>
      </w:pPr>
      <w:bookmarkStart w:id="73" w:name="_Toc14246993"/>
      <w:bookmarkStart w:id="74" w:name="_Toc14353950"/>
      <w:r>
        <w:t>Slide</w:t>
      </w:r>
      <w:r w:rsidRPr="00DF0B0A">
        <w:t xml:space="preserve"> 35: Job seekers aged 25 and over - Participant has a work goal in their plan</w:t>
      </w:r>
      <w:bookmarkEnd w:id="73"/>
      <w:bookmarkEnd w:id="74"/>
    </w:p>
    <w:p w14:paraId="7E4E6266" w14:textId="09D8BFF4" w:rsidR="00670764" w:rsidRPr="00272BEF" w:rsidRDefault="00670764" w:rsidP="00670764">
      <w:r w:rsidRPr="00272BEF">
        <w:t xml:space="preserve">A chart </w:t>
      </w:r>
      <w:r w:rsidR="00B60690">
        <w:t>show</w:t>
      </w:r>
      <w:r w:rsidRPr="00272BEF">
        <w:t>s the employment success rate based on whether or not the participant has a work goal in their plan.</w:t>
      </w:r>
    </w:p>
    <w:p w14:paraId="2021E00A" w14:textId="77777777" w:rsidR="00670764" w:rsidRPr="00272BEF" w:rsidRDefault="00670764" w:rsidP="00670764">
      <w:r w:rsidRPr="00272BEF">
        <w:t xml:space="preserve">Participants aged 25 and over who have a work goal recorded in their plans have a higher likelihood of finding paid employment at review than those who do not. </w:t>
      </w:r>
    </w:p>
    <w:p w14:paraId="4E9C9235" w14:textId="77777777" w:rsidR="00670764" w:rsidRPr="00272BEF" w:rsidRDefault="00670764" w:rsidP="00670764">
      <w:r w:rsidRPr="00272BEF">
        <w:t>This cohort may be more motivated to find work.</w:t>
      </w:r>
    </w:p>
    <w:p w14:paraId="49F6C32C" w14:textId="77777777" w:rsidR="00670764" w:rsidRPr="00DF0B0A" w:rsidRDefault="00670764" w:rsidP="00670764">
      <w:pPr>
        <w:pStyle w:val="Heading2"/>
      </w:pPr>
      <w:bookmarkStart w:id="75" w:name="_Toc14246994"/>
      <w:bookmarkStart w:id="76" w:name="_Toc14353951"/>
      <w:r>
        <w:t>Slide</w:t>
      </w:r>
      <w:r w:rsidRPr="00DF0B0A">
        <w:t xml:space="preserve"> 36: Job seekers aged 25 and over - Participant has NDIS employment funding in their plan</w:t>
      </w:r>
      <w:bookmarkEnd w:id="75"/>
      <w:bookmarkEnd w:id="76"/>
    </w:p>
    <w:p w14:paraId="1AAA38B7" w14:textId="1050B844" w:rsidR="00670764" w:rsidRPr="00272BEF" w:rsidRDefault="00670764" w:rsidP="00670764">
      <w:r w:rsidRPr="00272BEF">
        <w:t xml:space="preserve">A chart </w:t>
      </w:r>
      <w:r w:rsidR="00B60690">
        <w:t>show</w:t>
      </w:r>
      <w:r w:rsidRPr="00272BEF">
        <w:t>s the employment success rate based on whether or not the participant has NDIS employment funding in their plan.</w:t>
      </w:r>
    </w:p>
    <w:p w14:paraId="0F4E9422" w14:textId="77777777" w:rsidR="00670764" w:rsidRPr="00272BEF" w:rsidRDefault="00670764" w:rsidP="00670764">
      <w:r w:rsidRPr="00272BEF">
        <w:t xml:space="preserve">Participants aged 25 and over who receive NDIS employment funding have greater rates of employment success. </w:t>
      </w:r>
    </w:p>
    <w:p w14:paraId="5495930C" w14:textId="77777777" w:rsidR="00670764" w:rsidRPr="00272BEF" w:rsidRDefault="00670764" w:rsidP="00670764">
      <w:r w:rsidRPr="00272BEF">
        <w:t xml:space="preserve">NDIS funding supports the search for paid work through: </w:t>
      </w:r>
    </w:p>
    <w:p w14:paraId="09372421" w14:textId="74F994FE" w:rsidR="00670764" w:rsidRPr="00272BEF" w:rsidRDefault="00670764" w:rsidP="00670764">
      <w:pPr>
        <w:pStyle w:val="ListParagraph"/>
        <w:numPr>
          <w:ilvl w:val="0"/>
          <w:numId w:val="102"/>
        </w:numPr>
      </w:pPr>
      <w:r w:rsidRPr="00272BEF">
        <w:t xml:space="preserve">Employment related assessment and counselling </w:t>
      </w:r>
    </w:p>
    <w:p w14:paraId="2371C7A1" w14:textId="15EF0D63" w:rsidR="00670764" w:rsidRPr="00272BEF" w:rsidRDefault="00670764" w:rsidP="00670764">
      <w:pPr>
        <w:pStyle w:val="ListParagraph"/>
        <w:numPr>
          <w:ilvl w:val="0"/>
          <w:numId w:val="102"/>
        </w:numPr>
      </w:pPr>
      <w:r w:rsidRPr="00272BEF">
        <w:t xml:space="preserve">Individual employment support </w:t>
      </w:r>
    </w:p>
    <w:p w14:paraId="5F042375" w14:textId="716E69DA" w:rsidR="00670764" w:rsidRPr="00272BEF" w:rsidRDefault="00670764" w:rsidP="00670764">
      <w:pPr>
        <w:pStyle w:val="ListParagraph"/>
        <w:numPr>
          <w:ilvl w:val="0"/>
          <w:numId w:val="102"/>
        </w:numPr>
      </w:pPr>
      <w:r w:rsidRPr="00272BEF">
        <w:t>Employment preparation and support in a group</w:t>
      </w:r>
    </w:p>
    <w:p w14:paraId="40B7093F" w14:textId="77777777" w:rsidR="00670764" w:rsidRPr="00DF0B0A" w:rsidRDefault="00670764" w:rsidP="00670764">
      <w:pPr>
        <w:pStyle w:val="Heading2"/>
      </w:pPr>
      <w:bookmarkStart w:id="77" w:name="_Toc14246995"/>
      <w:bookmarkStart w:id="78" w:name="_Toc14353952"/>
      <w:r>
        <w:t>Slide</w:t>
      </w:r>
      <w:r w:rsidRPr="00DF0B0A">
        <w:t xml:space="preserve"> 37: Comparison of participants looking for paid work by age group</w:t>
      </w:r>
      <w:bookmarkEnd w:id="77"/>
      <w:bookmarkEnd w:id="78"/>
    </w:p>
    <w:p w14:paraId="48EA9A97" w14:textId="77777777" w:rsidR="00670764" w:rsidRPr="00272BEF" w:rsidRDefault="00670764" w:rsidP="00670764">
      <w:pPr>
        <w:pStyle w:val="Heading3"/>
      </w:pPr>
      <w:r w:rsidRPr="00272BEF">
        <w:t xml:space="preserve">The analysis suggests that an age-dependent employment strategy may be appropriate: </w:t>
      </w:r>
    </w:p>
    <w:p w14:paraId="6B39717D" w14:textId="477E7308" w:rsidR="00670764" w:rsidRPr="00272BEF" w:rsidRDefault="00670764" w:rsidP="00722CD5">
      <w:pPr>
        <w:pStyle w:val="ListParagraph"/>
        <w:numPr>
          <w:ilvl w:val="0"/>
          <w:numId w:val="103"/>
        </w:numPr>
      </w:pPr>
      <w:r w:rsidRPr="00272BEF">
        <w:t xml:space="preserve">For participants aged 15 to 24, supports should be focused on increasing independence and building capacity to seek employment </w:t>
      </w:r>
    </w:p>
    <w:p w14:paraId="15C3B210" w14:textId="51AADBFE" w:rsidR="00670764" w:rsidRPr="00722CD5" w:rsidRDefault="00670764" w:rsidP="00722CD5">
      <w:pPr>
        <w:pStyle w:val="ListParagraph"/>
        <w:numPr>
          <w:ilvl w:val="0"/>
          <w:numId w:val="103"/>
        </w:numPr>
        <w:rPr>
          <w:rFonts w:cs="Arial"/>
          <w:sz w:val="24"/>
          <w:szCs w:val="24"/>
        </w:rPr>
      </w:pPr>
      <w:r w:rsidRPr="00722CD5">
        <w:rPr>
          <w:rFonts w:cs="Arial"/>
          <w:sz w:val="24"/>
          <w:szCs w:val="24"/>
        </w:rPr>
        <w:t>For participants aged 25 and older, including work goals in plans, and providing employment funding to those who do not have access to mainstream or community supports are more important. Supporting participants to improve their health may also have a positive impact, noting that this is primarily the responsibility of the health system rather than the NDIS.</w:t>
      </w:r>
    </w:p>
    <w:p w14:paraId="0F92C7CA" w14:textId="77777777" w:rsidR="00670764" w:rsidRPr="00272BEF" w:rsidRDefault="00670764" w:rsidP="00670764">
      <w:pPr>
        <w:rPr>
          <w:rFonts w:cs="Arial"/>
          <w:sz w:val="24"/>
          <w:szCs w:val="24"/>
        </w:rPr>
      </w:pPr>
      <w:r w:rsidRPr="00272BEF">
        <w:rPr>
          <w:rFonts w:cs="Arial"/>
          <w:sz w:val="24"/>
          <w:szCs w:val="24"/>
        </w:rPr>
        <w:t>However, the existence of SLES for young participants and the absence of a similar program for older participants may be driving the difference in employment outcomes.</w:t>
      </w:r>
    </w:p>
    <w:p w14:paraId="0D0737CC" w14:textId="77777777" w:rsidR="00670764" w:rsidRPr="00670764" w:rsidRDefault="00670764" w:rsidP="00670764">
      <w:pPr>
        <w:rPr>
          <w:rFonts w:cs="Arial"/>
          <w:bCs/>
          <w:sz w:val="24"/>
          <w:szCs w:val="24"/>
        </w:rPr>
      </w:pPr>
      <w:r w:rsidRPr="00670764">
        <w:rPr>
          <w:rFonts w:cs="Arial"/>
          <w:bCs/>
          <w:sz w:val="24"/>
          <w:szCs w:val="24"/>
        </w:rPr>
        <w:t>Introducing an employment support program targeted at older adults may be worth considering.</w:t>
      </w:r>
    </w:p>
    <w:p w14:paraId="2E29DB00" w14:textId="77777777" w:rsidR="0048626B" w:rsidRPr="00DF0B0A" w:rsidRDefault="0048626B" w:rsidP="0048626B">
      <w:pPr>
        <w:pStyle w:val="Heading2"/>
      </w:pPr>
      <w:bookmarkStart w:id="79" w:name="_Toc14246996"/>
      <w:bookmarkStart w:id="80" w:name="_Toc14353953"/>
      <w:r>
        <w:t>Slide</w:t>
      </w:r>
      <w:r w:rsidRPr="00DF0B0A">
        <w:t xml:space="preserve"> 38: Provider analysis by employment outcomes</w:t>
      </w:r>
      <w:bookmarkEnd w:id="79"/>
      <w:bookmarkEnd w:id="80"/>
    </w:p>
    <w:p w14:paraId="16C36146" w14:textId="77777777" w:rsidR="0048626B" w:rsidRPr="00272BEF" w:rsidRDefault="0048626B" w:rsidP="0048626B">
      <w:r w:rsidRPr="00272BEF">
        <w:t>A primary aim of the outcomes framework is to help identify providers who are achieving good outcomes for participants, whilst recognising that participant characteristics and other factors outside the control of the provider will also have an impact on outcomes.</w:t>
      </w:r>
    </w:p>
    <w:p w14:paraId="60777ED6" w14:textId="77777777" w:rsidR="0048626B" w:rsidRPr="00272BEF" w:rsidRDefault="0048626B" w:rsidP="0048626B">
      <w:r w:rsidRPr="00272BEF">
        <w:t>Consistent with this aim, providers who achieve better than expected employment outcomes have been identified.</w:t>
      </w:r>
    </w:p>
    <w:p w14:paraId="6349D1B9" w14:textId="77777777" w:rsidR="0048626B" w:rsidRPr="00272BEF" w:rsidRDefault="0048626B" w:rsidP="0048626B">
      <w:r w:rsidRPr="00272BEF">
        <w:t>For each provider, the regression models described above are used to determine the number of participants expected to be in paid employment at review, based on the characteristics of the participants supported by the provider.</w:t>
      </w:r>
    </w:p>
    <w:p w14:paraId="21FF9B52" w14:textId="77777777" w:rsidR="0048626B" w:rsidRPr="00272BEF" w:rsidRDefault="0048626B" w:rsidP="0048626B">
      <w:r w:rsidRPr="00272BEF">
        <w:t>These expected numbers are compared to actual numbers in paid employment at review.</w:t>
      </w:r>
    </w:p>
    <w:p w14:paraId="65F66EF4" w14:textId="77777777" w:rsidR="0048626B" w:rsidRPr="00272BEF" w:rsidRDefault="0048626B" w:rsidP="0048626B">
      <w:r w:rsidRPr="00272BEF">
        <w:t xml:space="preserve">Providers are ranked in decreasing order of the ratio of actual to </w:t>
      </w:r>
      <w:proofErr w:type="gramStart"/>
      <w:r w:rsidRPr="00272BEF">
        <w:t>expected</w:t>
      </w:r>
      <w:proofErr w:type="gramEnd"/>
      <w:r w:rsidRPr="00272BEF">
        <w:t>.</w:t>
      </w:r>
    </w:p>
    <w:p w14:paraId="669A25A4" w14:textId="77777777" w:rsidR="0048626B" w:rsidRPr="00DF0B0A" w:rsidRDefault="0048626B" w:rsidP="0048626B">
      <w:pPr>
        <w:pStyle w:val="Heading2"/>
      </w:pPr>
      <w:bookmarkStart w:id="81" w:name="_Toc14246997"/>
      <w:bookmarkStart w:id="82" w:name="_Toc14353954"/>
      <w:r>
        <w:t>Slide</w:t>
      </w:r>
      <w:r w:rsidRPr="00DF0B0A">
        <w:t xml:space="preserve"> 39: Top five providers for employment outcomes</w:t>
      </w:r>
      <w:bookmarkEnd w:id="81"/>
      <w:bookmarkEnd w:id="82"/>
    </w:p>
    <w:p w14:paraId="42A2E6CF" w14:textId="0AFDADB2" w:rsidR="0048626B" w:rsidRPr="00272BEF" w:rsidRDefault="0048626B" w:rsidP="0048626B">
      <w:r w:rsidRPr="00272BEF">
        <w:t xml:space="preserve">A chart </w:t>
      </w:r>
      <w:r w:rsidR="00B60690">
        <w:t>show</w:t>
      </w:r>
      <w:r w:rsidRPr="00272BEF">
        <w:t xml:space="preserve">s the provider exposure </w:t>
      </w:r>
      <w:r w:rsidR="003C2EB4">
        <w:t>to</w:t>
      </w:r>
      <w:r w:rsidRPr="00272BEF">
        <w:t xml:space="preserve"> participants seeking to get a job or </w:t>
      </w:r>
      <w:r w:rsidR="003C2EB4">
        <w:t xml:space="preserve">to </w:t>
      </w:r>
      <w:r w:rsidRPr="00272BEF">
        <w:t>keep a job.</w:t>
      </w:r>
    </w:p>
    <w:p w14:paraId="7E7D720E" w14:textId="77777777" w:rsidR="0048626B" w:rsidRPr="00272BEF" w:rsidRDefault="0048626B" w:rsidP="0048626B">
      <w:r w:rsidRPr="00272BEF">
        <w:t xml:space="preserve">Note: “Exposure” is a measure of the effective number of participants supported by the provider, based on payments made. The graph shows provider exposure to participants seeking to get a job (purple portion of bars) and those seeking to keep a job (green portion of bars). The Actual/Expected ratio combines success for both getting and keeping a job. </w:t>
      </w:r>
    </w:p>
    <w:p w14:paraId="2D8D81A4" w14:textId="77777777" w:rsidR="0048626B" w:rsidRPr="00272BEF" w:rsidRDefault="0048626B" w:rsidP="0048626B">
      <w:r w:rsidRPr="00272BEF">
        <w:t>For example, Provider A effectively supported about 54 participants overall: 47 who were looking for a job at baseline and seven who had a paid job at baseline. For all 54 participants, the number of actual employment successes attributable to Provider A was about 23, compared with about 11 expected, yielding a ratio of 2.05.</w:t>
      </w:r>
    </w:p>
    <w:p w14:paraId="000A0A41" w14:textId="77777777" w:rsidR="0048626B" w:rsidRPr="00DF0B0A" w:rsidRDefault="0048626B" w:rsidP="0048626B">
      <w:pPr>
        <w:pStyle w:val="Heading2"/>
      </w:pPr>
      <w:bookmarkStart w:id="83" w:name="_Toc14246998"/>
      <w:bookmarkStart w:id="84" w:name="_Toc14353955"/>
      <w:r>
        <w:t>Slide</w:t>
      </w:r>
      <w:r w:rsidRPr="00DF0B0A">
        <w:t xml:space="preserve"> 40: Provider A</w:t>
      </w:r>
      <w:bookmarkEnd w:id="83"/>
      <w:bookmarkEnd w:id="84"/>
    </w:p>
    <w:p w14:paraId="1C38217A" w14:textId="77777777" w:rsidR="0048626B" w:rsidRPr="00272BEF" w:rsidRDefault="0048626B" w:rsidP="0048626B">
      <w:r w:rsidRPr="0048626B">
        <w:rPr>
          <w:bCs/>
        </w:rPr>
        <w:t xml:space="preserve">Provider A </w:t>
      </w:r>
      <w:r w:rsidRPr="00272BEF">
        <w:t>receives the top ranking due to its exceptional results in helping young participants aged 15 to 24 to find paid work.</w:t>
      </w:r>
    </w:p>
    <w:p w14:paraId="30691233" w14:textId="77777777" w:rsidR="0048626B" w:rsidRPr="00272BEF" w:rsidRDefault="0048626B" w:rsidP="0048626B">
      <w:r w:rsidRPr="0048626B">
        <w:rPr>
          <w:bCs/>
        </w:rPr>
        <w:t xml:space="preserve">Provider A </w:t>
      </w:r>
      <w:r w:rsidRPr="00272BEF">
        <w:t>is a dedicated employment service provider that specialises in placing people with a moderate intellectual disability into open employment. They operate a SLES and DES program, with the majority of their participant exposure being young participants receiving SLES supports.</w:t>
      </w:r>
    </w:p>
    <w:p w14:paraId="49EBFD94" w14:textId="77777777" w:rsidR="0048626B" w:rsidRPr="00272BEF" w:rsidRDefault="0048626B" w:rsidP="0048626B">
      <w:r w:rsidRPr="00272BEF">
        <w:t xml:space="preserve">The strong results for </w:t>
      </w:r>
      <w:r w:rsidRPr="0048626B">
        <w:rPr>
          <w:bCs/>
        </w:rPr>
        <w:t xml:space="preserve">Provider A </w:t>
      </w:r>
      <w:r w:rsidRPr="00272BEF">
        <w:t>highlight the benefits of the SLES program in helping participants to find paid work, as well as the potential benefits that may arise for participants who engage with specialist employment service providers.</w:t>
      </w:r>
    </w:p>
    <w:p w14:paraId="2EDAF46D" w14:textId="77777777" w:rsidR="0048626B" w:rsidRDefault="0048626B" w:rsidP="0048626B">
      <w:pPr>
        <w:pStyle w:val="Heading2"/>
        <w:rPr>
          <w:sz w:val="24"/>
        </w:rPr>
      </w:pPr>
      <w:bookmarkStart w:id="85" w:name="_Toc14246999"/>
      <w:bookmarkStart w:id="86" w:name="_Toc14353956"/>
      <w:r>
        <w:t>Slide</w:t>
      </w:r>
      <w:r w:rsidRPr="00C94E00">
        <w:t xml:space="preserve"> 41: Employment outcomes for families and carers of NDIS participants</w:t>
      </w:r>
      <w:bookmarkEnd w:id="85"/>
      <w:bookmarkEnd w:id="86"/>
    </w:p>
    <w:p w14:paraId="20DFB851" w14:textId="77777777" w:rsidR="0048626B" w:rsidRPr="00272BEF" w:rsidRDefault="0048626B" w:rsidP="0048626B">
      <w:r>
        <w:t>The following section discusses employment outcomes for families and carers of NDIS participants.</w:t>
      </w:r>
    </w:p>
    <w:p w14:paraId="65A98364" w14:textId="7040F1C9" w:rsidR="0048626B" w:rsidRDefault="0048626B" w:rsidP="0048626B">
      <w:pPr>
        <w:pStyle w:val="Heading2"/>
      </w:pPr>
      <w:bookmarkStart w:id="87" w:name="_Toc14247000"/>
      <w:bookmarkStart w:id="88" w:name="_Toc14353957"/>
      <w:r>
        <w:t>Slide</w:t>
      </w:r>
      <w:r w:rsidRPr="00DF0B0A">
        <w:t xml:space="preserve"> 42: Outline</w:t>
      </w:r>
      <w:bookmarkEnd w:id="87"/>
      <w:bookmarkEnd w:id="88"/>
    </w:p>
    <w:p w14:paraId="068890E0" w14:textId="40A47850" w:rsidR="0048626B" w:rsidRPr="0048626B" w:rsidRDefault="0048626B" w:rsidP="0048626B">
      <w:r>
        <w:t>The topics covered in the following slides are:</w:t>
      </w:r>
    </w:p>
    <w:p w14:paraId="33227363" w14:textId="2B829C7E" w:rsidR="0048626B" w:rsidRPr="00272BEF" w:rsidRDefault="0048626B" w:rsidP="0048626B">
      <w:pPr>
        <w:pStyle w:val="ListParagraph"/>
        <w:numPr>
          <w:ilvl w:val="0"/>
          <w:numId w:val="104"/>
        </w:numPr>
      </w:pPr>
      <w:r w:rsidRPr="00272BEF">
        <w:t xml:space="preserve">Economic benefits of increased employment of families/carers </w:t>
      </w:r>
    </w:p>
    <w:p w14:paraId="4BB1718F" w14:textId="2345E4D1" w:rsidR="0048626B" w:rsidRPr="00272BEF" w:rsidRDefault="0048626B" w:rsidP="0048626B">
      <w:pPr>
        <w:pStyle w:val="ListParagraph"/>
        <w:numPr>
          <w:ilvl w:val="0"/>
          <w:numId w:val="104"/>
        </w:numPr>
      </w:pPr>
      <w:r w:rsidRPr="00272BEF">
        <w:t xml:space="preserve">Carers in Australia, demographic characteristics and employment </w:t>
      </w:r>
    </w:p>
    <w:p w14:paraId="715E578F" w14:textId="6CDAB5C2" w:rsidR="0048626B" w:rsidRPr="00272BEF" w:rsidRDefault="0048626B" w:rsidP="0048626B">
      <w:pPr>
        <w:pStyle w:val="ListParagraph"/>
        <w:numPr>
          <w:ilvl w:val="0"/>
          <w:numId w:val="104"/>
        </w:numPr>
      </w:pPr>
      <w:r w:rsidRPr="00272BEF">
        <w:t xml:space="preserve">Employment experience of family members/carers of NDIS participants at baseline, overall and by participant age group </w:t>
      </w:r>
    </w:p>
    <w:p w14:paraId="4B51F645" w14:textId="2D784561" w:rsidR="0048626B" w:rsidRPr="00272BEF" w:rsidRDefault="0048626B" w:rsidP="0048626B">
      <w:pPr>
        <w:pStyle w:val="ListParagraph"/>
        <w:numPr>
          <w:ilvl w:val="0"/>
          <w:numId w:val="104"/>
        </w:numPr>
      </w:pPr>
      <w:r w:rsidRPr="00272BEF">
        <w:t>Employment experience of mothers of child participants, compared to the general population</w:t>
      </w:r>
    </w:p>
    <w:p w14:paraId="22618F82" w14:textId="7D4D9DDC" w:rsidR="0048626B" w:rsidRPr="00272BEF" w:rsidRDefault="0048626B" w:rsidP="0048626B">
      <w:pPr>
        <w:pStyle w:val="ListParagraph"/>
        <w:numPr>
          <w:ilvl w:val="0"/>
          <w:numId w:val="104"/>
        </w:numPr>
      </w:pPr>
      <w:r w:rsidRPr="00272BEF">
        <w:t xml:space="preserve">Employment experience of family members/carers by relationship to the participant and participant age </w:t>
      </w:r>
    </w:p>
    <w:p w14:paraId="13CB2AEC" w14:textId="1BFE61F3" w:rsidR="0048626B" w:rsidRPr="00272BEF" w:rsidRDefault="0048626B" w:rsidP="0048626B">
      <w:pPr>
        <w:pStyle w:val="ListParagraph"/>
        <w:numPr>
          <w:ilvl w:val="0"/>
          <w:numId w:val="104"/>
        </w:numPr>
      </w:pPr>
      <w:r w:rsidRPr="00272BEF">
        <w:t xml:space="preserve">Employment experience of family members/carers of NDIS participants, trend </w:t>
      </w:r>
    </w:p>
    <w:p w14:paraId="743A5827" w14:textId="6DE2CD11" w:rsidR="0048626B" w:rsidRPr="00272BEF" w:rsidRDefault="0048626B" w:rsidP="0048626B">
      <w:pPr>
        <w:pStyle w:val="ListParagraph"/>
        <w:numPr>
          <w:ilvl w:val="0"/>
          <w:numId w:val="104"/>
        </w:numPr>
      </w:pPr>
      <w:r w:rsidRPr="00272BEF">
        <w:t xml:space="preserve">Type of employment </w:t>
      </w:r>
    </w:p>
    <w:p w14:paraId="7D54C7C0" w14:textId="686B5DC7" w:rsidR="0048626B" w:rsidRPr="00272BEF" w:rsidRDefault="0048626B" w:rsidP="0048626B">
      <w:pPr>
        <w:pStyle w:val="ListParagraph"/>
        <w:numPr>
          <w:ilvl w:val="0"/>
          <w:numId w:val="104"/>
        </w:numPr>
      </w:pPr>
      <w:r w:rsidRPr="00272BEF">
        <w:t xml:space="preserve">Families/carers motivation to work more and barriers to working more, by participant age group </w:t>
      </w:r>
    </w:p>
    <w:p w14:paraId="38800D0F" w14:textId="7274067F" w:rsidR="0048626B" w:rsidRPr="00272BEF" w:rsidRDefault="0048626B" w:rsidP="0048626B">
      <w:pPr>
        <w:pStyle w:val="ListParagraph"/>
        <w:numPr>
          <w:ilvl w:val="0"/>
          <w:numId w:val="104"/>
        </w:numPr>
      </w:pPr>
      <w:r w:rsidRPr="00272BEF">
        <w:t>Key drivers of employment success for families/carers of participants aged 0 to 14</w:t>
      </w:r>
    </w:p>
    <w:p w14:paraId="336C0943" w14:textId="77777777" w:rsidR="00167E7E" w:rsidRPr="00DF0B0A" w:rsidRDefault="00167E7E" w:rsidP="00167E7E">
      <w:pPr>
        <w:pStyle w:val="Heading2"/>
      </w:pPr>
      <w:bookmarkStart w:id="89" w:name="_Toc14247001"/>
      <w:bookmarkStart w:id="90" w:name="_Toc14353958"/>
      <w:r>
        <w:t>Slide</w:t>
      </w:r>
      <w:r w:rsidRPr="00DF0B0A">
        <w:t xml:space="preserve"> 43: Economic benefits of increased employment for carers of Australians with disability</w:t>
      </w:r>
      <w:bookmarkEnd w:id="89"/>
      <w:bookmarkEnd w:id="90"/>
    </w:p>
    <w:p w14:paraId="52AC12A0" w14:textId="77777777" w:rsidR="00167E7E" w:rsidRPr="00272BEF" w:rsidRDefault="00167E7E" w:rsidP="00167E7E">
      <w:pPr>
        <w:pStyle w:val="Heading3"/>
      </w:pPr>
      <w:r w:rsidRPr="00272BEF">
        <w:t>In 2011, the Productivity Commission estimated that the NDIS could result in:</w:t>
      </w:r>
    </w:p>
    <w:p w14:paraId="2E536250" w14:textId="1195C6DD" w:rsidR="00167E7E" w:rsidRPr="00272BEF" w:rsidRDefault="00167E7E" w:rsidP="006E6A52">
      <w:pPr>
        <w:pStyle w:val="ListParagraph"/>
        <w:numPr>
          <w:ilvl w:val="0"/>
          <w:numId w:val="105"/>
        </w:numPr>
      </w:pPr>
      <w:r>
        <w:t>A</w:t>
      </w:r>
      <w:r w:rsidRPr="00272BEF">
        <w:t>n additional 3.4% of carers entering the workforce</w:t>
      </w:r>
    </w:p>
    <w:p w14:paraId="4FEF56E7" w14:textId="64C38030" w:rsidR="00167E7E" w:rsidRPr="00272BEF" w:rsidRDefault="00167E7E" w:rsidP="006E6A52">
      <w:pPr>
        <w:pStyle w:val="ListParagraph"/>
        <w:numPr>
          <w:ilvl w:val="0"/>
          <w:numId w:val="105"/>
        </w:numPr>
      </w:pPr>
      <w:r>
        <w:t>I</w:t>
      </w:r>
      <w:r w:rsidRPr="00272BEF">
        <w:t>ncreased work capacity for carers already employed</w:t>
      </w:r>
    </w:p>
    <w:p w14:paraId="2BE5AC78" w14:textId="6350974B" w:rsidR="00167E7E" w:rsidRPr="00272BEF" w:rsidRDefault="00167E7E" w:rsidP="006E6A52">
      <w:pPr>
        <w:pStyle w:val="ListParagraph"/>
        <w:numPr>
          <w:ilvl w:val="0"/>
          <w:numId w:val="105"/>
        </w:numPr>
      </w:pPr>
      <w:r>
        <w:t>A</w:t>
      </w:r>
      <w:r w:rsidRPr="00272BEF">
        <w:t xml:space="preserve"> $1.5b increase to annual real GDP (The GDP estimate is in 2011 productivity levels and prices, and the realisation of this effect will take some time.)</w:t>
      </w:r>
    </w:p>
    <w:p w14:paraId="25163530" w14:textId="77777777" w:rsidR="00167E7E" w:rsidRPr="00272BEF" w:rsidRDefault="00167E7E" w:rsidP="00167E7E">
      <w:pPr>
        <w:pStyle w:val="Heading3"/>
      </w:pPr>
      <w:r w:rsidRPr="00272BEF">
        <w:t>In addition, the following benefits are associated with increased employment:</w:t>
      </w:r>
    </w:p>
    <w:p w14:paraId="600331C0" w14:textId="77777777" w:rsidR="00167E7E" w:rsidRPr="00272BEF" w:rsidRDefault="00167E7E" w:rsidP="00167E7E">
      <w:pPr>
        <w:pStyle w:val="Heading4"/>
      </w:pPr>
      <w:r w:rsidRPr="00272BEF">
        <w:t xml:space="preserve">For family members and carers: </w:t>
      </w:r>
    </w:p>
    <w:p w14:paraId="75987F3E" w14:textId="1D787ADB" w:rsidR="00167E7E" w:rsidRPr="00272BEF" w:rsidRDefault="00167E7E" w:rsidP="006E6A52">
      <w:pPr>
        <w:pStyle w:val="ListParagraph"/>
        <w:numPr>
          <w:ilvl w:val="0"/>
          <w:numId w:val="106"/>
        </w:numPr>
      </w:pPr>
      <w:r w:rsidRPr="00272BEF">
        <w:t xml:space="preserve">More diverse life and </w:t>
      </w:r>
      <w:proofErr w:type="spellStart"/>
      <w:r w:rsidRPr="00272BEF">
        <w:t>role</w:t>
      </w:r>
      <w:proofErr w:type="spellEnd"/>
      <w:r w:rsidRPr="00272BEF">
        <w:t xml:space="preserve"> through formal paid work </w:t>
      </w:r>
    </w:p>
    <w:p w14:paraId="76566E52" w14:textId="5B82FD76" w:rsidR="00167E7E" w:rsidRPr="00272BEF" w:rsidRDefault="00167E7E" w:rsidP="006E6A52">
      <w:pPr>
        <w:pStyle w:val="ListParagraph"/>
        <w:numPr>
          <w:ilvl w:val="0"/>
          <w:numId w:val="106"/>
        </w:numPr>
      </w:pPr>
      <w:r w:rsidRPr="00272BEF">
        <w:t>Increase in income and the potential for families to live a better life</w:t>
      </w:r>
    </w:p>
    <w:p w14:paraId="6CD34948" w14:textId="77777777" w:rsidR="00167E7E" w:rsidRPr="00272BEF" w:rsidRDefault="00167E7E" w:rsidP="00167E7E">
      <w:pPr>
        <w:pStyle w:val="Heading4"/>
      </w:pPr>
      <w:r w:rsidRPr="00272BEF">
        <w:t xml:space="preserve">For the economy: </w:t>
      </w:r>
    </w:p>
    <w:p w14:paraId="00AF34FD" w14:textId="76D110FD" w:rsidR="00167E7E" w:rsidRPr="00272BEF" w:rsidRDefault="00167E7E" w:rsidP="006E6A52">
      <w:pPr>
        <w:pStyle w:val="ListParagraph"/>
        <w:numPr>
          <w:ilvl w:val="0"/>
          <w:numId w:val="107"/>
        </w:numPr>
      </w:pPr>
      <w:r w:rsidRPr="00272BEF">
        <w:t>More productive allocation of labour by helping informal carers with highly valuable specific capital (such as law, computer science and business skills) to return to work</w:t>
      </w:r>
    </w:p>
    <w:p w14:paraId="2DE60E78" w14:textId="77777777" w:rsidR="00167E7E" w:rsidRPr="00DF0B0A" w:rsidRDefault="00167E7E" w:rsidP="00167E7E">
      <w:pPr>
        <w:pStyle w:val="Heading2"/>
      </w:pPr>
      <w:bookmarkStart w:id="91" w:name="_Toc14247002"/>
      <w:bookmarkStart w:id="92" w:name="_Toc14353959"/>
      <w:r>
        <w:t>Slide</w:t>
      </w:r>
      <w:r w:rsidRPr="00DF0B0A">
        <w:t xml:space="preserve"> 44: Carers in Australia, demographic characteristics</w:t>
      </w:r>
      <w:bookmarkEnd w:id="91"/>
      <w:bookmarkEnd w:id="92"/>
    </w:p>
    <w:p w14:paraId="6DC5D660" w14:textId="77777777" w:rsidR="00167E7E" w:rsidRPr="00272BEF" w:rsidRDefault="00167E7E" w:rsidP="001E3FAF">
      <w:r w:rsidRPr="00272BEF">
        <w:t>Three charts show carers in Australia by their demographic characteristics.</w:t>
      </w:r>
    </w:p>
    <w:p w14:paraId="59BE1756" w14:textId="23CA0D3D" w:rsidR="00167E7E" w:rsidRPr="00272BEF" w:rsidRDefault="00167E7E" w:rsidP="001E3FAF">
      <w:pPr>
        <w:rPr>
          <w:bCs/>
        </w:rPr>
      </w:pPr>
      <w:r w:rsidRPr="00272BEF">
        <w:t xml:space="preserve">The first chart </w:t>
      </w:r>
      <w:r w:rsidR="00B60690">
        <w:t>show</w:t>
      </w:r>
      <w:r w:rsidRPr="00272BEF">
        <w:t xml:space="preserve">s </w:t>
      </w:r>
      <w:r w:rsidRPr="00272BEF">
        <w:rPr>
          <w:bCs/>
        </w:rPr>
        <w:t>the percentage of persons in a carer role, by age group.</w:t>
      </w:r>
    </w:p>
    <w:p w14:paraId="6C921ED3" w14:textId="2B2F8CE0" w:rsidR="00167E7E" w:rsidRPr="00272BEF" w:rsidRDefault="00167E7E" w:rsidP="001E3FAF">
      <w:pPr>
        <w:rPr>
          <w:bCs/>
        </w:rPr>
      </w:pPr>
      <w:r w:rsidRPr="00272BEF">
        <w:rPr>
          <w:bCs/>
        </w:rPr>
        <w:t xml:space="preserve">The second chart </w:t>
      </w:r>
      <w:r w:rsidR="00B60690">
        <w:rPr>
          <w:bCs/>
        </w:rPr>
        <w:t>show</w:t>
      </w:r>
      <w:r w:rsidRPr="00272BEF">
        <w:rPr>
          <w:bCs/>
        </w:rPr>
        <w:t>s the average age by carer status.</w:t>
      </w:r>
    </w:p>
    <w:p w14:paraId="3CB563A9" w14:textId="5400CC1C" w:rsidR="00167E7E" w:rsidRPr="00272BEF" w:rsidRDefault="00167E7E" w:rsidP="001E3FAF">
      <w:r w:rsidRPr="00272BEF">
        <w:rPr>
          <w:bCs/>
        </w:rPr>
        <w:t xml:space="preserve">The third chart </w:t>
      </w:r>
      <w:r w:rsidR="00B60690">
        <w:rPr>
          <w:bCs/>
        </w:rPr>
        <w:t>show</w:t>
      </w:r>
      <w:r w:rsidRPr="00272BEF">
        <w:rPr>
          <w:bCs/>
        </w:rPr>
        <w:t>s carer status by gender.</w:t>
      </w:r>
    </w:p>
    <w:p w14:paraId="15BD3086" w14:textId="77777777" w:rsidR="00167E7E" w:rsidRPr="00272BEF" w:rsidRDefault="00167E7E" w:rsidP="001E3FAF">
      <w:r w:rsidRPr="00272BEF">
        <w:t>Of the almost 2.7 million Australians that were identified as carers in 2015, around 856,100 (32%) were identified as primary carers. The proportion of carers in the general population increases with age. The average age of primary carers was 55 years compared with 48 years for other carers. Of note is the gender composition of primary carers, with the majority (68%) represented by females.</w:t>
      </w:r>
    </w:p>
    <w:p w14:paraId="15FB4E43" w14:textId="7A452108" w:rsidR="00167E7E" w:rsidRPr="00272BEF" w:rsidRDefault="00FB4C63" w:rsidP="001E3FAF">
      <w:r>
        <w:t xml:space="preserve">Source: 2015 ABS Survey of Disability, Ageing and Carers (SDAC). </w:t>
      </w:r>
      <w:r w:rsidR="00167E7E" w:rsidRPr="00272BEF">
        <w:t xml:space="preserve">In the SDAC, a </w:t>
      </w:r>
      <w:proofErr w:type="spellStart"/>
      <w:r w:rsidR="00167E7E" w:rsidRPr="00272BEF">
        <w:t>carer</w:t>
      </w:r>
      <w:proofErr w:type="spellEnd"/>
      <w:r w:rsidR="00167E7E" w:rsidRPr="00272BEF">
        <w:t xml:space="preserve"> is defined as a person who provides any informal assistance, in terms of help or supervision, to older people (aged 65 years and over) and those with disability. A primary carer is a person who provides the most informal assistance, in terms of help or supervision, to a person with one or more disabilities, with one or more of the core activities of mobility, self-care or communication.</w:t>
      </w:r>
    </w:p>
    <w:p w14:paraId="51853206" w14:textId="77777777" w:rsidR="00167E7E" w:rsidRPr="00DF0B0A" w:rsidRDefault="00167E7E" w:rsidP="00167E7E">
      <w:pPr>
        <w:pStyle w:val="Heading2"/>
      </w:pPr>
      <w:bookmarkStart w:id="93" w:name="_Toc14247003"/>
      <w:bookmarkStart w:id="94" w:name="_Toc14353960"/>
      <w:r>
        <w:t>Slide</w:t>
      </w:r>
      <w:r w:rsidRPr="00DF0B0A">
        <w:t xml:space="preserve"> 45: Employment experience of Australian carers</w:t>
      </w:r>
      <w:bookmarkEnd w:id="93"/>
      <w:bookmarkEnd w:id="94"/>
    </w:p>
    <w:p w14:paraId="7DDD0032" w14:textId="77777777" w:rsidR="00167E7E" w:rsidRPr="00272BEF" w:rsidRDefault="00167E7E" w:rsidP="001E3FAF">
      <w:r w:rsidRPr="00272BEF">
        <w:t>Two charts summarise employment experience of Australian carers.</w:t>
      </w:r>
    </w:p>
    <w:p w14:paraId="225D6D36" w14:textId="17BEB287" w:rsidR="00167E7E" w:rsidRPr="00272BEF" w:rsidRDefault="00167E7E" w:rsidP="001E3FAF">
      <w:r w:rsidRPr="00272BEF">
        <w:t xml:space="preserve">The first chart </w:t>
      </w:r>
      <w:r w:rsidR="00B60690">
        <w:t>show</w:t>
      </w:r>
      <w:r w:rsidRPr="00272BEF">
        <w:t xml:space="preserve">s the employment </w:t>
      </w:r>
      <w:r w:rsidR="00927EEB">
        <w:t>to population ratio, labour force participation rate, and unemployment rate</w:t>
      </w:r>
      <w:r w:rsidRPr="00272BEF">
        <w:t xml:space="preserve"> for persons aged 15 to 64 by their carer status</w:t>
      </w:r>
      <w:r w:rsidR="00927EEB">
        <w:t xml:space="preserve"> (primary carers, non-primary carers, and not a carer)</w:t>
      </w:r>
      <w:r w:rsidRPr="00272BEF">
        <w:t>.</w:t>
      </w:r>
      <w:r w:rsidR="00927EEB">
        <w:t xml:space="preserve"> Carers have lower employment levels than non-carers.</w:t>
      </w:r>
    </w:p>
    <w:p w14:paraId="75336B95" w14:textId="5918683D" w:rsidR="00167E7E" w:rsidRPr="00272BEF" w:rsidRDefault="00167E7E" w:rsidP="001E3FAF">
      <w:r w:rsidRPr="00272BEF">
        <w:t xml:space="preserve">The second chart </w:t>
      </w:r>
      <w:r w:rsidR="00B60690">
        <w:t>show</w:t>
      </w:r>
      <w:r w:rsidRPr="00272BEF">
        <w:t>s the employment to population ratio for primary carers aged 15 to 64 by time spent caring.</w:t>
      </w:r>
      <w:r w:rsidR="00927EEB">
        <w:t xml:space="preserve"> There is a decreasing trend with increasing hours spent caring.</w:t>
      </w:r>
    </w:p>
    <w:p w14:paraId="50B33175" w14:textId="77777777" w:rsidR="00167E7E" w:rsidRPr="00272BEF" w:rsidRDefault="00167E7E" w:rsidP="001E3FAF">
      <w:r w:rsidRPr="00272BEF">
        <w:t>Primary carers in Australia experience considerably poorer employment outcomes, compared with people without caring responsibilities. Only 56% of primary carers aged 15 to 64 participate in the labour force, by far below the percentage of people without caring responsibilities or even other carers. As expected, the percentage of primary carers with a job decreases with the number of hours spent caring.</w:t>
      </w:r>
    </w:p>
    <w:p w14:paraId="2FFE0417" w14:textId="77777777" w:rsidR="00167E7E" w:rsidRPr="00DF0B0A" w:rsidRDefault="00167E7E" w:rsidP="00167E7E">
      <w:pPr>
        <w:pStyle w:val="Heading2"/>
      </w:pPr>
      <w:bookmarkStart w:id="95" w:name="_Toc14247004"/>
      <w:bookmarkStart w:id="96" w:name="_Toc14353961"/>
      <w:r>
        <w:t>Slide</w:t>
      </w:r>
      <w:r w:rsidRPr="00DF0B0A">
        <w:t xml:space="preserve"> 46: Employment experiences of family members/carers of NDIS participants: Baseline</w:t>
      </w:r>
      <w:bookmarkEnd w:id="95"/>
      <w:bookmarkEnd w:id="96"/>
    </w:p>
    <w:p w14:paraId="3EEFA2F9" w14:textId="3017CD4D" w:rsidR="00167E7E" w:rsidRPr="00272BEF" w:rsidRDefault="00167E7E" w:rsidP="001E3FAF">
      <w:r w:rsidRPr="00272BEF">
        <w:t xml:space="preserve">Two charts </w:t>
      </w:r>
      <w:r w:rsidR="00B60690">
        <w:t>show</w:t>
      </w:r>
      <w:r w:rsidRPr="00272BEF">
        <w:t xml:space="preserve"> the employment experiences of family members and carers of NDIS participants at baseline.</w:t>
      </w:r>
    </w:p>
    <w:p w14:paraId="0A4C0247" w14:textId="5689EE5A" w:rsidR="00167E7E" w:rsidRPr="00272BEF" w:rsidRDefault="00167E7E" w:rsidP="001E3FAF">
      <w:pPr>
        <w:rPr>
          <w:bCs/>
        </w:rPr>
      </w:pPr>
      <w:r w:rsidRPr="00272BEF">
        <w:t xml:space="preserve">The first chart </w:t>
      </w:r>
      <w:r w:rsidR="00B60690">
        <w:t>show</w:t>
      </w:r>
      <w:r w:rsidRPr="00272BEF">
        <w:t xml:space="preserve">s </w:t>
      </w:r>
      <w:r w:rsidRPr="00272BEF">
        <w:rPr>
          <w:bCs/>
        </w:rPr>
        <w:t>percentage of families and carers in a paid job at baseline, by participant age group.</w:t>
      </w:r>
    </w:p>
    <w:p w14:paraId="21000CC6" w14:textId="346D2178" w:rsidR="00167E7E" w:rsidRPr="00272BEF" w:rsidRDefault="00167E7E" w:rsidP="001E3FAF">
      <w:pPr>
        <w:rPr>
          <w:bCs/>
        </w:rPr>
      </w:pPr>
      <w:r w:rsidRPr="00272BEF">
        <w:rPr>
          <w:bCs/>
        </w:rPr>
        <w:t xml:space="preserve">The second chart </w:t>
      </w:r>
      <w:r w:rsidR="00B60690">
        <w:rPr>
          <w:bCs/>
        </w:rPr>
        <w:t>show</w:t>
      </w:r>
      <w:r w:rsidRPr="00272BEF">
        <w:rPr>
          <w:bCs/>
        </w:rPr>
        <w:t>s Australian employment to population ratio, by carer status.</w:t>
      </w:r>
    </w:p>
    <w:p w14:paraId="19F6DD80" w14:textId="77777777" w:rsidR="00167E7E" w:rsidRPr="00272BEF" w:rsidRDefault="00167E7E" w:rsidP="001E3FAF">
      <w:pPr>
        <w:rPr>
          <w:bCs/>
        </w:rPr>
      </w:pPr>
      <w:r w:rsidRPr="00272BEF">
        <w:rPr>
          <w:bCs/>
        </w:rPr>
        <w:t>The percentages of families/carers of NDIS participants in a paid job are roughly in line with those reported in the ABS Survey of Disability, Ageing and Carers for primary carers. The percentage is the lowest for families/carers of participants aged 25 and over, which may be driven by differences in the respondents’ age distribution.</w:t>
      </w:r>
    </w:p>
    <w:p w14:paraId="4CB3A592" w14:textId="77777777" w:rsidR="00200883" w:rsidRPr="00DF0B0A" w:rsidRDefault="00200883" w:rsidP="00200883">
      <w:pPr>
        <w:pStyle w:val="Heading2"/>
      </w:pPr>
      <w:bookmarkStart w:id="97" w:name="_Toc14247005"/>
      <w:bookmarkStart w:id="98" w:name="_Toc14353962"/>
      <w:r>
        <w:t>Slide</w:t>
      </w:r>
      <w:r w:rsidRPr="00DF0B0A">
        <w:t xml:space="preserve"> 47: Employment experiences at baseline - Families/carers of participants aged 0 to 14</w:t>
      </w:r>
      <w:bookmarkEnd w:id="97"/>
      <w:bookmarkEnd w:id="98"/>
    </w:p>
    <w:p w14:paraId="22E3AC1B" w14:textId="62DB1F6B" w:rsidR="00200883" w:rsidRPr="00272BEF" w:rsidRDefault="00200883" w:rsidP="00200883">
      <w:r w:rsidRPr="00272BEF">
        <w:t xml:space="preserve">Two charts </w:t>
      </w:r>
      <w:r w:rsidR="00B60690">
        <w:t>show</w:t>
      </w:r>
      <w:r w:rsidRPr="00272BEF">
        <w:t xml:space="preserve"> the employment experiences at baseline for families and carers of participants aged 0 to 14.</w:t>
      </w:r>
    </w:p>
    <w:p w14:paraId="134E4806" w14:textId="441A9D8A" w:rsidR="00200883" w:rsidRPr="00272BEF" w:rsidRDefault="00200883" w:rsidP="00200883">
      <w:pPr>
        <w:rPr>
          <w:bCs/>
        </w:rPr>
      </w:pPr>
      <w:r w:rsidRPr="00272BEF">
        <w:t xml:space="preserve">The first chart </w:t>
      </w:r>
      <w:r w:rsidR="00B60690">
        <w:t>show</w:t>
      </w:r>
      <w:r w:rsidRPr="00272BEF">
        <w:t xml:space="preserve">s the </w:t>
      </w:r>
      <w:r w:rsidRPr="00272BEF">
        <w:rPr>
          <w:bCs/>
        </w:rPr>
        <w:t>percentage of families and carers of participants in a paid job, by their relationship to participant.</w:t>
      </w:r>
    </w:p>
    <w:p w14:paraId="3D2DDB35" w14:textId="302A69CC" w:rsidR="00200883" w:rsidRPr="00272BEF" w:rsidRDefault="00200883" w:rsidP="00200883">
      <w:pPr>
        <w:rPr>
          <w:bCs/>
        </w:rPr>
      </w:pPr>
      <w:r w:rsidRPr="00272BEF">
        <w:rPr>
          <w:bCs/>
        </w:rPr>
        <w:t xml:space="preserve">The second chart </w:t>
      </w:r>
      <w:r w:rsidR="00B60690">
        <w:rPr>
          <w:bCs/>
        </w:rPr>
        <w:t>show</w:t>
      </w:r>
      <w:r w:rsidRPr="00272BEF">
        <w:rPr>
          <w:bCs/>
        </w:rPr>
        <w:t>s the number of respondents, by their relationship to participant.</w:t>
      </w:r>
    </w:p>
    <w:p w14:paraId="233F4F9B" w14:textId="7FC94B22" w:rsidR="00200883" w:rsidRPr="00272BEF" w:rsidRDefault="00200883" w:rsidP="00200883">
      <w:pPr>
        <w:rPr>
          <w:bCs/>
        </w:rPr>
      </w:pPr>
      <w:r w:rsidRPr="00272BEF">
        <w:rPr>
          <w:bCs/>
        </w:rPr>
        <w:t>The large majority of respondents (86%) are the participant’s mother. Mothers report lower rates of paid employment at baseline compared to fathers (45% v</w:t>
      </w:r>
      <w:r w:rsidR="0008407F">
        <w:rPr>
          <w:bCs/>
        </w:rPr>
        <w:t>er</w:t>
      </w:r>
      <w:r w:rsidRPr="00272BEF">
        <w:rPr>
          <w:bCs/>
        </w:rPr>
        <w:t>s</w:t>
      </w:r>
      <w:r w:rsidR="0008407F">
        <w:rPr>
          <w:bCs/>
        </w:rPr>
        <w:t>us</w:t>
      </w:r>
      <w:r w:rsidRPr="00272BEF">
        <w:rPr>
          <w:bCs/>
        </w:rPr>
        <w:t xml:space="preserve"> 67%). Respondents in the ‘other’ category, which includes grandparents and foster carers, have the lowest employment rates</w:t>
      </w:r>
      <w:r w:rsidR="0008407F">
        <w:rPr>
          <w:bCs/>
        </w:rPr>
        <w:t xml:space="preserve"> (32%)</w:t>
      </w:r>
      <w:r w:rsidRPr="00272BEF">
        <w:rPr>
          <w:bCs/>
        </w:rPr>
        <w:t>.</w:t>
      </w:r>
    </w:p>
    <w:p w14:paraId="297C1907" w14:textId="77777777" w:rsidR="00200883" w:rsidRPr="00DF0B0A" w:rsidRDefault="00200883" w:rsidP="00200883">
      <w:pPr>
        <w:pStyle w:val="Heading2"/>
      </w:pPr>
      <w:bookmarkStart w:id="99" w:name="_Toc14247006"/>
      <w:bookmarkStart w:id="100" w:name="_Toc14353963"/>
      <w:r>
        <w:t>Slide</w:t>
      </w:r>
      <w:r w:rsidRPr="00DF0B0A">
        <w:t xml:space="preserve"> 48: Employment experiences at baseline: Families/carers of participants aged 15 to 24</w:t>
      </w:r>
      <w:bookmarkEnd w:id="99"/>
      <w:bookmarkEnd w:id="100"/>
    </w:p>
    <w:p w14:paraId="18D8E1AF" w14:textId="61A2435B" w:rsidR="00200883" w:rsidRPr="00272BEF" w:rsidRDefault="00200883" w:rsidP="00200883">
      <w:r w:rsidRPr="00272BEF">
        <w:t xml:space="preserve">Two charts </w:t>
      </w:r>
      <w:r w:rsidR="00B60690">
        <w:t>show</w:t>
      </w:r>
      <w:r w:rsidRPr="00272BEF">
        <w:t xml:space="preserve"> the employment experiences at baseline for families and carers of participants aged 15 to 24.</w:t>
      </w:r>
    </w:p>
    <w:p w14:paraId="5356BCA2" w14:textId="558F33A5" w:rsidR="00200883" w:rsidRPr="00272BEF" w:rsidRDefault="00200883" w:rsidP="00200883">
      <w:r w:rsidRPr="00272BEF">
        <w:t xml:space="preserve">The first chart </w:t>
      </w:r>
      <w:r w:rsidR="00B60690">
        <w:t>show</w:t>
      </w:r>
      <w:r w:rsidRPr="00272BEF">
        <w:t>s the percentage of families and carers of participants in a paid job, by their relationship to the participant.</w:t>
      </w:r>
    </w:p>
    <w:p w14:paraId="418F6652" w14:textId="00264BE8" w:rsidR="00200883" w:rsidRPr="00272BEF" w:rsidRDefault="00200883" w:rsidP="00200883">
      <w:r w:rsidRPr="00272BEF">
        <w:t xml:space="preserve">The second chart </w:t>
      </w:r>
      <w:r w:rsidR="00B60690">
        <w:t>show</w:t>
      </w:r>
      <w:r w:rsidRPr="00272BEF">
        <w:t>s the number of respondents by their relationship to the participant.</w:t>
      </w:r>
    </w:p>
    <w:p w14:paraId="35553EF7" w14:textId="77777777" w:rsidR="00200883" w:rsidRPr="00272BEF" w:rsidRDefault="00200883" w:rsidP="00200883">
      <w:r w:rsidRPr="00272BEF">
        <w:t>The majority of respondents are mothers of the participants (79%), followed by fathers (12%). The difference in the percentage employed between mothers and fathers is less pronounced compared to the younger participant cohort (50% for mothers, and 57% for fathers).</w:t>
      </w:r>
    </w:p>
    <w:p w14:paraId="747101D2" w14:textId="77777777" w:rsidR="00200883" w:rsidRPr="00DF0B0A" w:rsidRDefault="00200883" w:rsidP="00200883">
      <w:pPr>
        <w:pStyle w:val="Heading2"/>
      </w:pPr>
      <w:bookmarkStart w:id="101" w:name="_Toc14247007"/>
      <w:bookmarkStart w:id="102" w:name="_Toc14353964"/>
      <w:r>
        <w:t>Slide</w:t>
      </w:r>
      <w:r w:rsidRPr="00DF0B0A">
        <w:t xml:space="preserve"> 49: Employment experiences at baseline: Families/carers of participants aged 25 and over</w:t>
      </w:r>
      <w:bookmarkEnd w:id="101"/>
      <w:bookmarkEnd w:id="102"/>
    </w:p>
    <w:p w14:paraId="2E5FBFD7" w14:textId="6181AB21" w:rsidR="00200883" w:rsidRPr="00272BEF" w:rsidRDefault="00200883" w:rsidP="00200883">
      <w:r w:rsidRPr="00272BEF">
        <w:t xml:space="preserve">Two charts </w:t>
      </w:r>
      <w:r w:rsidR="00B60690">
        <w:t>show</w:t>
      </w:r>
      <w:r w:rsidRPr="00272BEF">
        <w:t xml:space="preserve"> the employment experiences at baseline for families and carers of participants aged 25 and over.</w:t>
      </w:r>
    </w:p>
    <w:p w14:paraId="2A4F59F9" w14:textId="753808A6" w:rsidR="00200883" w:rsidRPr="00272BEF" w:rsidRDefault="00200883" w:rsidP="00200883">
      <w:r w:rsidRPr="00272BEF">
        <w:t xml:space="preserve">The first chart </w:t>
      </w:r>
      <w:r w:rsidR="00B60690">
        <w:t>show</w:t>
      </w:r>
      <w:r w:rsidRPr="00272BEF">
        <w:t>s the percentage of families and carers of participants in a paid job, by their relationship to participant.</w:t>
      </w:r>
    </w:p>
    <w:p w14:paraId="413B6825" w14:textId="74204AF5" w:rsidR="00200883" w:rsidRPr="00272BEF" w:rsidRDefault="00200883" w:rsidP="00200883">
      <w:r w:rsidRPr="00272BEF">
        <w:t xml:space="preserve">The second chart </w:t>
      </w:r>
      <w:r w:rsidR="00B60690">
        <w:t>show</w:t>
      </w:r>
      <w:r w:rsidRPr="00272BEF">
        <w:t>s the number of respondents, by their relationship to participant.</w:t>
      </w:r>
    </w:p>
    <w:p w14:paraId="1F17203F" w14:textId="77777777" w:rsidR="00200883" w:rsidRPr="00272BEF" w:rsidRDefault="00200883" w:rsidP="00200883">
      <w:r w:rsidRPr="00272BEF">
        <w:t>The mother and spouse/partner are the main relationships for this cohort (42% and 24% of respondents, respectively). Parents have the lowest baseline employment rates, likely as a result of them nearing or reaching retirement age. The highest reported baseline employment rates are for siblings (58% for brothers, 52% for sisters), other family members (46%), and then the spouse/partner (44%).</w:t>
      </w:r>
    </w:p>
    <w:p w14:paraId="1851496F" w14:textId="77777777" w:rsidR="00200883" w:rsidRPr="00DF0B0A" w:rsidRDefault="00200883" w:rsidP="00200883">
      <w:pPr>
        <w:pStyle w:val="Heading2"/>
      </w:pPr>
      <w:bookmarkStart w:id="103" w:name="_Toc14247008"/>
      <w:bookmarkStart w:id="104" w:name="_Toc14353965"/>
      <w:r>
        <w:t>Slide</w:t>
      </w:r>
      <w:r w:rsidRPr="00DF0B0A">
        <w:t xml:space="preserve"> 50: Employment experiences: Mothers of participants aged 0 to 11 years</w:t>
      </w:r>
      <w:bookmarkEnd w:id="103"/>
      <w:bookmarkEnd w:id="104"/>
    </w:p>
    <w:p w14:paraId="017ADABB" w14:textId="1405F4A4" w:rsidR="00200883" w:rsidRPr="00272BEF" w:rsidRDefault="00200883" w:rsidP="00200883">
      <w:r w:rsidRPr="00272BEF">
        <w:t xml:space="preserve">A graph </w:t>
      </w:r>
      <w:r w:rsidR="00B60690">
        <w:t>show</w:t>
      </w:r>
      <w:r w:rsidRPr="00272BEF">
        <w:t>s the percentage of families and carers of participants in a paid job, for mothers of NDIS participant, compared to the general population.</w:t>
      </w:r>
    </w:p>
    <w:p w14:paraId="6125DC46" w14:textId="77777777" w:rsidR="00200883" w:rsidRPr="00272BEF" w:rsidRDefault="00200883" w:rsidP="00200883">
      <w:r w:rsidRPr="00272BEF">
        <w:t xml:space="preserve">Comparing employment experiences of mothers of NDIS participants aged 0 to 11 to mothers in the general population reveals considerable differences in the percentage employed. </w:t>
      </w:r>
    </w:p>
    <w:p w14:paraId="048046F2" w14:textId="77777777" w:rsidR="00200883" w:rsidRPr="00272BEF" w:rsidRDefault="00200883" w:rsidP="00200883">
      <w:r w:rsidRPr="00272BEF">
        <w:t xml:space="preserve">In particular, </w:t>
      </w:r>
    </w:p>
    <w:p w14:paraId="482E64DD" w14:textId="60CA65EC" w:rsidR="00200883" w:rsidRPr="00272BEF" w:rsidRDefault="00200883" w:rsidP="006E6A52">
      <w:pPr>
        <w:pStyle w:val="ListParagraph"/>
        <w:numPr>
          <w:ilvl w:val="0"/>
          <w:numId w:val="107"/>
        </w:numPr>
      </w:pPr>
      <w:r w:rsidRPr="00272BEF">
        <w:t xml:space="preserve">For both groups, the percentage employed increases as child’s age increases. </w:t>
      </w:r>
    </w:p>
    <w:p w14:paraId="36E05FE8" w14:textId="6C8A0735" w:rsidR="00200883" w:rsidRPr="00272BEF" w:rsidRDefault="00200883" w:rsidP="006E6A52">
      <w:pPr>
        <w:pStyle w:val="ListParagraph"/>
        <w:numPr>
          <w:ilvl w:val="0"/>
          <w:numId w:val="107"/>
        </w:numPr>
      </w:pPr>
      <w:r w:rsidRPr="00272BEF">
        <w:t xml:space="preserve">Mothers of NDIS participants show a significant increase in the percentage employed after the child reaches one year of age. </w:t>
      </w:r>
    </w:p>
    <w:p w14:paraId="58CC1727" w14:textId="63304719" w:rsidR="00200883" w:rsidRPr="00272BEF" w:rsidRDefault="00200883" w:rsidP="006E6A52">
      <w:pPr>
        <w:pStyle w:val="ListParagraph"/>
        <w:numPr>
          <w:ilvl w:val="0"/>
          <w:numId w:val="107"/>
        </w:numPr>
      </w:pPr>
      <w:r w:rsidRPr="00272BEF">
        <w:t xml:space="preserve">However, mothers in the general population are more likely to be employed. </w:t>
      </w:r>
    </w:p>
    <w:p w14:paraId="28A12523" w14:textId="67B7E845" w:rsidR="00200883" w:rsidRPr="00272BEF" w:rsidRDefault="00200883" w:rsidP="006E6A52">
      <w:pPr>
        <w:pStyle w:val="ListParagraph"/>
        <w:numPr>
          <w:ilvl w:val="0"/>
          <w:numId w:val="107"/>
        </w:numPr>
      </w:pPr>
      <w:r w:rsidRPr="00272BEF">
        <w:t>The gap in employment between the two groups appears to be increasing with the child’s age.</w:t>
      </w:r>
    </w:p>
    <w:p w14:paraId="491A6DC1" w14:textId="77777777" w:rsidR="00200883" w:rsidRPr="00272BEF" w:rsidRDefault="00200883" w:rsidP="00200883">
      <w:r w:rsidRPr="00272BEF">
        <w:t>However, these results should be treated with caution because the percentages in paid work for the two groups are not directly comparable for the following reasons: 1) the percentages reported for families/carers of NDIS participants are cross-sectional, but the general population benchmark is based on a longitudinal study; 2) the general population benchmark is based on the age of the mother’s youngest child, whereas mothers of NDIS participants may have other younger children who could impact on their return/entry into work.</w:t>
      </w:r>
    </w:p>
    <w:p w14:paraId="343BF2D0" w14:textId="77777777" w:rsidR="0045212E" w:rsidRPr="00DF0B0A" w:rsidRDefault="0045212E" w:rsidP="0045212E">
      <w:pPr>
        <w:pStyle w:val="Heading2"/>
      </w:pPr>
      <w:bookmarkStart w:id="105" w:name="_Toc14247009"/>
      <w:bookmarkStart w:id="106" w:name="_Toc14353966"/>
      <w:r>
        <w:t>Slide</w:t>
      </w:r>
      <w:r w:rsidRPr="00DF0B0A">
        <w:t xml:space="preserve"> 51: Employment experiences at baseline: By relationship to participant and age of participant</w:t>
      </w:r>
      <w:bookmarkEnd w:id="105"/>
      <w:bookmarkEnd w:id="106"/>
    </w:p>
    <w:p w14:paraId="7ADEF3D2" w14:textId="2B10DCF5" w:rsidR="0045212E" w:rsidRPr="00272BEF" w:rsidRDefault="0045212E" w:rsidP="0045212E">
      <w:r w:rsidRPr="00272BEF">
        <w:t xml:space="preserve">A chart </w:t>
      </w:r>
      <w:r w:rsidR="00B60690">
        <w:t>show</w:t>
      </w:r>
      <w:r w:rsidRPr="00272BEF">
        <w:t>s the percentage of families and carers of participants in a paid job, by their relationship to participant and participant age.</w:t>
      </w:r>
    </w:p>
    <w:p w14:paraId="563CAC75" w14:textId="77777777" w:rsidR="0045212E" w:rsidRPr="00272BEF" w:rsidRDefault="0045212E" w:rsidP="0045212E">
      <w:r w:rsidRPr="00272BEF">
        <w:t xml:space="preserve">Considering employment experiences by relationship to the participant and participant age, the following trends are observed: </w:t>
      </w:r>
    </w:p>
    <w:p w14:paraId="70B0F75E" w14:textId="1CB46C05" w:rsidR="0045212E" w:rsidRPr="00272BEF" w:rsidRDefault="0045212E" w:rsidP="006E6A52">
      <w:pPr>
        <w:pStyle w:val="ListParagraph"/>
        <w:numPr>
          <w:ilvl w:val="0"/>
          <w:numId w:val="108"/>
        </w:numPr>
      </w:pPr>
      <w:r w:rsidRPr="00272BEF">
        <w:t xml:space="preserve">There is an increasing trend in employment for mothers as participant age increases from birth to 20 years. </w:t>
      </w:r>
    </w:p>
    <w:p w14:paraId="500EBC72" w14:textId="4411ECA3" w:rsidR="0045212E" w:rsidRPr="00272BEF" w:rsidRDefault="0045212E" w:rsidP="006E6A52">
      <w:pPr>
        <w:pStyle w:val="ListParagraph"/>
        <w:numPr>
          <w:ilvl w:val="0"/>
          <w:numId w:val="108"/>
        </w:numPr>
      </w:pPr>
      <w:r w:rsidRPr="00272BEF">
        <w:t xml:space="preserve">For fathers, there is a decreasing trend in employment as participant age increases. </w:t>
      </w:r>
    </w:p>
    <w:p w14:paraId="60603F73" w14:textId="3FE5539B" w:rsidR="0045212E" w:rsidRPr="00272BEF" w:rsidRDefault="0045212E" w:rsidP="006E6A52">
      <w:pPr>
        <w:pStyle w:val="ListParagraph"/>
        <w:numPr>
          <w:ilvl w:val="0"/>
          <w:numId w:val="108"/>
        </w:numPr>
      </w:pPr>
      <w:r w:rsidRPr="00272BEF">
        <w:t xml:space="preserve">Beyond age 30, the percentages are similar for mothers and fathers, and decrease as they approach retirement. </w:t>
      </w:r>
    </w:p>
    <w:p w14:paraId="676EF70A" w14:textId="3766FEE5" w:rsidR="0045212E" w:rsidRPr="00272BEF" w:rsidRDefault="0045212E" w:rsidP="006E6A52">
      <w:pPr>
        <w:pStyle w:val="ListParagraph"/>
        <w:numPr>
          <w:ilvl w:val="0"/>
          <w:numId w:val="108"/>
        </w:numPr>
      </w:pPr>
      <w:r w:rsidRPr="00272BEF">
        <w:t>The increase beyond age 20 for the “Other” group reflects the increasing component of spouses and partners in this group.</w:t>
      </w:r>
    </w:p>
    <w:p w14:paraId="019DB73B" w14:textId="77777777" w:rsidR="0045212E" w:rsidRPr="00DF0B0A" w:rsidRDefault="0045212E" w:rsidP="0045212E">
      <w:pPr>
        <w:pStyle w:val="Heading2"/>
      </w:pPr>
      <w:bookmarkStart w:id="107" w:name="_Toc14247010"/>
      <w:bookmarkStart w:id="108" w:name="_Toc14353967"/>
      <w:r>
        <w:t>Slide</w:t>
      </w:r>
      <w:r w:rsidRPr="00DF0B0A">
        <w:t xml:space="preserve"> 52: Employment experiences of families/carers - Trend</w:t>
      </w:r>
      <w:bookmarkEnd w:id="107"/>
      <w:bookmarkEnd w:id="108"/>
    </w:p>
    <w:p w14:paraId="1A8AF26E" w14:textId="3A7FC6F3" w:rsidR="0045212E" w:rsidRPr="00272BEF" w:rsidRDefault="0045212E" w:rsidP="006E6A52">
      <w:r w:rsidRPr="00272BEF">
        <w:t xml:space="preserve">Three charts </w:t>
      </w:r>
      <w:r w:rsidR="00B60690">
        <w:t>show</w:t>
      </w:r>
      <w:r w:rsidRPr="00272BEF">
        <w:t xml:space="preserve"> the trend in percentage of families and carers in paid employment, by the participant age group.</w:t>
      </w:r>
    </w:p>
    <w:p w14:paraId="5F832EF1" w14:textId="685461BE" w:rsidR="0045212E" w:rsidRPr="00272BEF" w:rsidRDefault="0045212E" w:rsidP="006E6A52">
      <w:r w:rsidRPr="00272BEF">
        <w:t>The first chart shows the change in the percentage of families and carers of participants aged 0 to 14 in paid employment of 3.1%</w:t>
      </w:r>
      <w:r w:rsidR="0008407F">
        <w:t>.</w:t>
      </w:r>
    </w:p>
    <w:p w14:paraId="46ACB5BF" w14:textId="0836A2C0" w:rsidR="0045212E" w:rsidRPr="00272BEF" w:rsidRDefault="0045212E" w:rsidP="006E6A52">
      <w:r w:rsidRPr="00272BEF">
        <w:t>The second chart shows the change in the percentage of families and carers of participants aged 15 to 24 in paid employment of 3.3%</w:t>
      </w:r>
      <w:r w:rsidR="0008407F">
        <w:t>.</w:t>
      </w:r>
    </w:p>
    <w:p w14:paraId="6AC5289E" w14:textId="77777777" w:rsidR="0045212E" w:rsidRPr="00272BEF" w:rsidRDefault="0045212E" w:rsidP="006E6A52">
      <w:r w:rsidRPr="00272BEF">
        <w:t>The third chart shows the change in the percentage of families and carers of participants aged 25 and over in paid employment of 0%.</w:t>
      </w:r>
    </w:p>
    <w:p w14:paraId="28B41323" w14:textId="77777777" w:rsidR="0045212E" w:rsidRPr="00272BEF" w:rsidRDefault="0045212E" w:rsidP="006E6A52">
      <w:r w:rsidRPr="00272BEF">
        <w:t>The employment rate for families and carers of participants under 25 has increased over the first year in the Scheme. Part of this increase may be attributed to improved Australian labour market conditions. However, the significant improvement in employment does not appear to be due to a strengthening job market alone, and may be a result of the impact of the NDIS.</w:t>
      </w:r>
    </w:p>
    <w:p w14:paraId="3047EEF4" w14:textId="77777777" w:rsidR="0045212E" w:rsidRPr="00DF0B0A" w:rsidRDefault="0045212E" w:rsidP="0045212E">
      <w:pPr>
        <w:pStyle w:val="Heading2"/>
      </w:pPr>
      <w:bookmarkStart w:id="109" w:name="_Toc14247011"/>
      <w:bookmarkStart w:id="110" w:name="_Toc14353968"/>
      <w:r>
        <w:t>Slide</w:t>
      </w:r>
      <w:r w:rsidRPr="00DF0B0A">
        <w:t xml:space="preserve"> 53: Employment experiences of families/carers - Type of employment</w:t>
      </w:r>
      <w:bookmarkEnd w:id="109"/>
      <w:bookmarkEnd w:id="110"/>
    </w:p>
    <w:p w14:paraId="52A6E43A" w14:textId="46F1B8B4" w:rsidR="0045212E" w:rsidRPr="00272BEF" w:rsidRDefault="0045212E" w:rsidP="006E6A52">
      <w:r w:rsidRPr="00272BEF">
        <w:t xml:space="preserve">Three charts </w:t>
      </w:r>
      <w:r w:rsidR="00B60690">
        <w:t>show</w:t>
      </w:r>
      <w:r w:rsidRPr="00272BEF">
        <w:t xml:space="preserve"> the employment experiences of families and carers by their type of employment.</w:t>
      </w:r>
    </w:p>
    <w:p w14:paraId="678E59E3" w14:textId="74F19002" w:rsidR="0045212E" w:rsidRPr="00272BEF" w:rsidRDefault="0045212E" w:rsidP="006E6A52">
      <w:r w:rsidRPr="00272BEF">
        <w:t xml:space="preserve">The first chart </w:t>
      </w:r>
      <w:r w:rsidR="00B60690">
        <w:t>show</w:t>
      </w:r>
      <w:r w:rsidRPr="00272BEF">
        <w:t xml:space="preserve">s the type of employment </w:t>
      </w:r>
      <w:r w:rsidR="0008407F">
        <w:t xml:space="preserve">(permanent or casual) </w:t>
      </w:r>
      <w:r w:rsidRPr="00272BEF">
        <w:t>for families and carers in a paid job, compared to the general population.</w:t>
      </w:r>
    </w:p>
    <w:p w14:paraId="5B1B4AFB" w14:textId="22A97D94" w:rsidR="0045212E" w:rsidRPr="00272BEF" w:rsidRDefault="0045212E" w:rsidP="006E6A52">
      <w:r w:rsidRPr="00272BEF">
        <w:t xml:space="preserve">The second chart </w:t>
      </w:r>
      <w:r w:rsidR="00B60690">
        <w:t>show</w:t>
      </w:r>
      <w:r w:rsidRPr="00272BEF">
        <w:t>s the typical hours worked per week for families and carers in a paid job.</w:t>
      </w:r>
    </w:p>
    <w:p w14:paraId="41186024" w14:textId="442728C9" w:rsidR="0045212E" w:rsidRPr="00272BEF" w:rsidRDefault="0045212E" w:rsidP="006E6A52">
      <w:r w:rsidRPr="00272BEF">
        <w:t xml:space="preserve">The third chart </w:t>
      </w:r>
      <w:r w:rsidR="00B60690">
        <w:t>show</w:t>
      </w:r>
      <w:r w:rsidRPr="00272BEF">
        <w:t>s the typical hours worked per week for families and carers, compared to the general population.</w:t>
      </w:r>
    </w:p>
    <w:p w14:paraId="5F2D2090" w14:textId="77777777" w:rsidR="0045212E" w:rsidRPr="00272BEF" w:rsidRDefault="0045212E" w:rsidP="006E6A52">
      <w:r w:rsidRPr="00272BEF">
        <w:t>Compared to the general population, families/carers of NDIS participants work less hours on average, and are more likely to be in casual employment. The average number of hours worked per week has increased slightly between baseline and review. However, the percentage of families/carers in casual employment has remained constant.</w:t>
      </w:r>
    </w:p>
    <w:p w14:paraId="02776BFC" w14:textId="77777777" w:rsidR="0045212E" w:rsidRPr="00DF0B0A" w:rsidRDefault="0045212E" w:rsidP="0045212E">
      <w:pPr>
        <w:pStyle w:val="Heading2"/>
      </w:pPr>
      <w:bookmarkStart w:id="111" w:name="_Toc14247012"/>
      <w:bookmarkStart w:id="112" w:name="_Toc14353969"/>
      <w:r>
        <w:t>Slide</w:t>
      </w:r>
      <w:r w:rsidRPr="00DF0B0A">
        <w:t xml:space="preserve"> 54: Barriers to employment: Families/carers of participants aged 0 to 14</w:t>
      </w:r>
      <w:bookmarkEnd w:id="111"/>
      <w:bookmarkEnd w:id="112"/>
    </w:p>
    <w:p w14:paraId="3A7652A7" w14:textId="1BB5828E" w:rsidR="0045212E" w:rsidRPr="00272BEF" w:rsidRDefault="0045212E" w:rsidP="006E6A52">
      <w:r w:rsidRPr="00272BEF">
        <w:t xml:space="preserve">Two charts </w:t>
      </w:r>
      <w:r w:rsidR="00B60690">
        <w:t>show</w:t>
      </w:r>
      <w:r w:rsidRPr="00272BEF">
        <w:t xml:space="preserve"> the barriers to employment of families and carers of participants aged 0 to 14.</w:t>
      </w:r>
    </w:p>
    <w:p w14:paraId="684D9BAC" w14:textId="464B28C3" w:rsidR="0045212E" w:rsidRPr="00272BEF" w:rsidRDefault="0045212E" w:rsidP="006E6A52">
      <w:r w:rsidRPr="00272BEF">
        <w:t xml:space="preserve">The first chart </w:t>
      </w:r>
      <w:r w:rsidR="00B60690">
        <w:t>show</w:t>
      </w:r>
      <w:r w:rsidRPr="00272BEF">
        <w:t>s answers to the question: “I</w:t>
      </w:r>
      <w:proofErr w:type="gramStart"/>
      <w:r w:rsidRPr="00272BEF">
        <w:t>/(</w:t>
      </w:r>
      <w:proofErr w:type="gramEnd"/>
      <w:r w:rsidRPr="00272BEF">
        <w:t>my partner and I) am/are able to work as much as I/we want” for families/carers of participants aged 0 to 14.</w:t>
      </w:r>
    </w:p>
    <w:p w14:paraId="0459FF83" w14:textId="3FA85FBC" w:rsidR="0045212E" w:rsidRPr="00272BEF" w:rsidRDefault="0045212E" w:rsidP="006E6A52">
      <w:r w:rsidRPr="00272BEF">
        <w:t xml:space="preserve">The second chart </w:t>
      </w:r>
      <w:r w:rsidR="00B60690">
        <w:t>show</w:t>
      </w:r>
      <w:r w:rsidRPr="00272BEF">
        <w:t>s barriers to working more for families and carers of participants aged 0 to 14 at review.</w:t>
      </w:r>
    </w:p>
    <w:p w14:paraId="0BABF8E5" w14:textId="77777777" w:rsidR="0045212E" w:rsidRPr="00272BEF" w:rsidRDefault="0045212E" w:rsidP="006E6A52">
      <w:r w:rsidRPr="00272BEF">
        <w:t>Although the increase in the percentage of families/carers in a paid job (+3.1%) and a slightly higher number of typical hours worked per week indicate an improvement, the percentage of families/carers who would like to work more has not changed significantly at review. The situation of a child with disability was most frequently cited as a barrier to working more (90%), followed by insufficient flexibility of available jobs (43%).</w:t>
      </w:r>
    </w:p>
    <w:p w14:paraId="39F66C59" w14:textId="77777777" w:rsidR="006E6A52" w:rsidRPr="00DF0B0A" w:rsidRDefault="006E6A52" w:rsidP="006E6A52">
      <w:pPr>
        <w:pStyle w:val="Heading2"/>
      </w:pPr>
      <w:bookmarkStart w:id="113" w:name="_Toc14247013"/>
      <w:bookmarkStart w:id="114" w:name="_Toc14353970"/>
      <w:r>
        <w:t>Slide</w:t>
      </w:r>
      <w:r w:rsidRPr="00DF0B0A">
        <w:t xml:space="preserve"> 55: Barriers to employment: Families/carers of participants aged 15 and over</w:t>
      </w:r>
      <w:bookmarkEnd w:id="113"/>
      <w:bookmarkEnd w:id="114"/>
    </w:p>
    <w:p w14:paraId="3DA765E1" w14:textId="38D1454B" w:rsidR="006E6A52" w:rsidRPr="00272BEF" w:rsidRDefault="006E6A52" w:rsidP="006E6A52">
      <w:r w:rsidRPr="00272BEF">
        <w:t xml:space="preserve">Two charts </w:t>
      </w:r>
      <w:r w:rsidR="00B60690">
        <w:t>show</w:t>
      </w:r>
      <w:r w:rsidRPr="00272BEF">
        <w:t xml:space="preserve"> the barriers to employment of families and carers of participants aged 15 and over.</w:t>
      </w:r>
    </w:p>
    <w:p w14:paraId="59FC3085" w14:textId="1EA2B859" w:rsidR="006E6A52" w:rsidRPr="00272BEF" w:rsidRDefault="006E6A52" w:rsidP="006E6A52">
      <w:r w:rsidRPr="00272BEF">
        <w:t xml:space="preserve">The first chart </w:t>
      </w:r>
      <w:r w:rsidR="00B60690">
        <w:t>show</w:t>
      </w:r>
      <w:r w:rsidRPr="00272BEF">
        <w:t>s answers to the question: “Family who provide informal care to my family member with a disability are able to work as much as they want” for families/carers of participants aged 15 and over.</w:t>
      </w:r>
    </w:p>
    <w:p w14:paraId="3ADE389B" w14:textId="482178EA" w:rsidR="006E6A52" w:rsidRPr="00272BEF" w:rsidRDefault="006E6A52" w:rsidP="006E6A52">
      <w:r w:rsidRPr="00272BEF">
        <w:t xml:space="preserve">The second chart </w:t>
      </w:r>
      <w:r w:rsidR="00B60690">
        <w:t>show</w:t>
      </w:r>
      <w:r w:rsidRPr="00272BEF">
        <w:t>s barriers to working more for families/carers of participants aged 15 and over at review.</w:t>
      </w:r>
    </w:p>
    <w:p w14:paraId="7A2E676D" w14:textId="77777777" w:rsidR="006E6A52" w:rsidRPr="00272BEF" w:rsidRDefault="006E6A52" w:rsidP="006E6A52">
      <w:r w:rsidRPr="00272BEF">
        <w:t>Similar to the families and carers of younger participants, and despite the increases in the other employment-related indicators, the percentage of respondents for participants aged 15 and over who are able to work as much as they want has not changed significantly between baseline and review. 91% of those who would like to work more reported that the situation of a family member with disability was a barrier to greater economic participation.</w:t>
      </w:r>
    </w:p>
    <w:p w14:paraId="552575AC" w14:textId="77777777" w:rsidR="006E6A52" w:rsidRPr="00DF0B0A" w:rsidRDefault="006E6A52" w:rsidP="006E6A52">
      <w:pPr>
        <w:pStyle w:val="Heading2"/>
      </w:pPr>
      <w:bookmarkStart w:id="115" w:name="_Toc14247014"/>
      <w:bookmarkStart w:id="116" w:name="_Toc14353971"/>
      <w:r>
        <w:t>Slide</w:t>
      </w:r>
      <w:r w:rsidRPr="00DF0B0A">
        <w:t xml:space="preserve"> 56: Key drivers of employment success - Approach</w:t>
      </w:r>
      <w:bookmarkEnd w:id="115"/>
      <w:bookmarkEnd w:id="116"/>
    </w:p>
    <w:p w14:paraId="19202B71" w14:textId="5637396D" w:rsidR="006E6A52" w:rsidRPr="00272BEF" w:rsidRDefault="006E6A52" w:rsidP="006E6A52">
      <w:r w:rsidRPr="00272BEF">
        <w:t>The key drive</w:t>
      </w:r>
      <w:r w:rsidR="00AB5B85">
        <w:t>r</w:t>
      </w:r>
      <w:r w:rsidRPr="00272BEF">
        <w:t xml:space="preserve">s of employment success for families and carers of NDIS participants have been identified using multiple logistic regression analysis. The analysis explored the effects of a number of different variables related to both the family/carer and participant on employment success at review, separately for each of the following two segments: </w:t>
      </w:r>
    </w:p>
    <w:p w14:paraId="022F4D5F" w14:textId="77777777" w:rsidR="006E6A52" w:rsidRPr="00272BEF" w:rsidRDefault="006E6A52" w:rsidP="006E6A52">
      <w:pPr>
        <w:pStyle w:val="ListParagraph"/>
        <w:numPr>
          <w:ilvl w:val="0"/>
          <w:numId w:val="109"/>
        </w:numPr>
      </w:pPr>
      <w:r w:rsidRPr="00272BEF">
        <w:t>Family member/carer not working in a paid job at baseline</w:t>
      </w:r>
    </w:p>
    <w:p w14:paraId="6BB7D547" w14:textId="77777777" w:rsidR="006E6A52" w:rsidRPr="00272BEF" w:rsidRDefault="006E6A52" w:rsidP="006E6A52">
      <w:pPr>
        <w:pStyle w:val="ListParagraph"/>
        <w:numPr>
          <w:ilvl w:val="0"/>
          <w:numId w:val="109"/>
        </w:numPr>
      </w:pPr>
      <w:r w:rsidRPr="00272BEF">
        <w:t>Family member/carer working in a paid job at baseline</w:t>
      </w:r>
    </w:p>
    <w:p w14:paraId="067E059A" w14:textId="77777777" w:rsidR="006E6A52" w:rsidRPr="00272BEF" w:rsidRDefault="006E6A52" w:rsidP="006E6A52">
      <w:r w:rsidRPr="00272BEF">
        <w:t>The slide contains two charts showing the percentage of families and carers of NDIS participants with a paid job at review.</w:t>
      </w:r>
    </w:p>
    <w:p w14:paraId="2BA99247" w14:textId="3C99A4D5" w:rsidR="006E6A52" w:rsidRPr="00272BEF" w:rsidRDefault="006E6A52" w:rsidP="006E6A52">
      <w:r w:rsidRPr="00272BEF">
        <w:t xml:space="preserve">The first chart shows that 12% of family members and carers </w:t>
      </w:r>
      <w:r w:rsidR="00AB5B85" w:rsidRPr="00272BEF">
        <w:t>without a paid job at baseline</w:t>
      </w:r>
      <w:r w:rsidR="00AB5B85" w:rsidRPr="00272BEF">
        <w:t xml:space="preserve"> </w:t>
      </w:r>
      <w:r w:rsidRPr="00272BEF">
        <w:t>were working in a paid job at review.</w:t>
      </w:r>
    </w:p>
    <w:p w14:paraId="235D8383" w14:textId="644B5496" w:rsidR="006E6A52" w:rsidRPr="00272BEF" w:rsidRDefault="006E6A52" w:rsidP="006E6A52">
      <w:r w:rsidRPr="00272BEF">
        <w:t xml:space="preserve">The second chart shows that 93% of family members and carers </w:t>
      </w:r>
      <w:r w:rsidR="00AB5B85" w:rsidRPr="00272BEF">
        <w:t>with a paid job at baseline</w:t>
      </w:r>
      <w:r w:rsidR="00AB5B85" w:rsidRPr="00272BEF">
        <w:t xml:space="preserve"> </w:t>
      </w:r>
      <w:r w:rsidRPr="00272BEF">
        <w:t>were working in a paid job at review.</w:t>
      </w:r>
    </w:p>
    <w:p w14:paraId="558B0AA3" w14:textId="77777777" w:rsidR="006E6A52" w:rsidRPr="00272BEF" w:rsidRDefault="006E6A52" w:rsidP="006E6A52">
      <w:r w:rsidRPr="00272BEF">
        <w:t>The regression modelling has only been applied to the families and carers of participants aged 0 to 14 to ensure sufficient data is available for analysis.</w:t>
      </w:r>
    </w:p>
    <w:p w14:paraId="5B01EB30" w14:textId="0BA6C7CB" w:rsidR="006E6A52" w:rsidRDefault="006E6A52" w:rsidP="006E6A52">
      <w:pPr>
        <w:pStyle w:val="Heading2"/>
      </w:pPr>
      <w:bookmarkStart w:id="117" w:name="_Toc14269907"/>
      <w:bookmarkStart w:id="118" w:name="_Toc14353972"/>
      <w:r>
        <w:t xml:space="preserve">Slide 57: </w:t>
      </w:r>
      <w:r w:rsidRPr="00CC2AE9">
        <w:t>Key drivers of employment success for families/carers who did not have a paid job at baseline</w:t>
      </w:r>
      <w:bookmarkEnd w:id="117"/>
      <w:bookmarkEnd w:id="118"/>
    </w:p>
    <w:p w14:paraId="73A86434" w14:textId="77777777" w:rsidR="006E6A52" w:rsidRDefault="006E6A52" w:rsidP="006E6A52">
      <w:r w:rsidRPr="0046723C">
        <w:t xml:space="preserve">A table </w:t>
      </w:r>
      <w:r>
        <w:t>show</w:t>
      </w:r>
      <w:r w:rsidRPr="0046723C">
        <w:t>s the factors that increase the lik</w:t>
      </w:r>
      <w:r>
        <w:t>elihood of employment at review.</w:t>
      </w:r>
    </w:p>
    <w:p w14:paraId="1E1921F1" w14:textId="77777777" w:rsidR="006E6A52" w:rsidRDefault="006E6A52" w:rsidP="006E6A52">
      <w:r w:rsidRPr="0046723C">
        <w:t>Of the first type, participant characteristics, the key drivers that increase the likelihood of employment at review are:</w:t>
      </w:r>
    </w:p>
    <w:p w14:paraId="4537E88D" w14:textId="77777777" w:rsidR="006E6A52" w:rsidRPr="00AA4AB9" w:rsidRDefault="006E6A52" w:rsidP="006E6A52">
      <w:pPr>
        <w:pStyle w:val="ListParagraph"/>
        <w:numPr>
          <w:ilvl w:val="0"/>
          <w:numId w:val="110"/>
        </w:numPr>
      </w:pPr>
      <w:r w:rsidRPr="00AA4AB9">
        <w:t>Scheme access reason is ‘benefit from early intervention’</w:t>
      </w:r>
      <w:r>
        <w:t>.</w:t>
      </w:r>
    </w:p>
    <w:p w14:paraId="0CE14670" w14:textId="77777777" w:rsidR="006E6A52" w:rsidRPr="00AA4AB9" w:rsidRDefault="006E6A52" w:rsidP="006E6A52">
      <w:pPr>
        <w:pStyle w:val="ListParagraph"/>
        <w:numPr>
          <w:ilvl w:val="0"/>
          <w:numId w:val="110"/>
        </w:numPr>
      </w:pPr>
      <w:r w:rsidRPr="00AA4AB9">
        <w:t>Plan is fully or partly self-managed</w:t>
      </w:r>
      <w:r>
        <w:t>.</w:t>
      </w:r>
    </w:p>
    <w:p w14:paraId="3957E8AA" w14:textId="77777777" w:rsidR="006E6A52" w:rsidRDefault="006E6A52" w:rsidP="006E6A52">
      <w:pPr>
        <w:pStyle w:val="ListParagraph"/>
        <w:numPr>
          <w:ilvl w:val="0"/>
          <w:numId w:val="110"/>
        </w:numPr>
      </w:pPr>
      <w:r w:rsidRPr="00AA4AB9">
        <w:t>Participant lives in NSW, QLD or SA</w:t>
      </w:r>
      <w:r>
        <w:t>.</w:t>
      </w:r>
    </w:p>
    <w:p w14:paraId="7C85A183" w14:textId="77777777" w:rsidR="006E6A52" w:rsidRDefault="006E6A52" w:rsidP="006E6A52">
      <w:r w:rsidRPr="0046723C">
        <w:t xml:space="preserve">Of the </w:t>
      </w:r>
      <w:r>
        <w:t>second</w:t>
      </w:r>
      <w:r w:rsidRPr="0046723C">
        <w:t xml:space="preserve"> type, </w:t>
      </w:r>
      <w:r>
        <w:t xml:space="preserve">family and </w:t>
      </w:r>
      <w:r w:rsidRPr="00AA4AB9">
        <w:t>carer baseline SF questionnaire responses</w:t>
      </w:r>
      <w:r w:rsidRPr="0046723C">
        <w:t>, the key drivers that increase the likelihood of employment at review are:</w:t>
      </w:r>
    </w:p>
    <w:p w14:paraId="2D92240A" w14:textId="77777777" w:rsidR="006E6A52" w:rsidRPr="00AA4AB9" w:rsidRDefault="006E6A52" w:rsidP="006E6A52">
      <w:pPr>
        <w:pStyle w:val="ListParagraph"/>
        <w:numPr>
          <w:ilvl w:val="0"/>
          <w:numId w:val="111"/>
        </w:numPr>
      </w:pPr>
      <w:r>
        <w:t>Family member/carer i</w:t>
      </w:r>
      <w:r w:rsidRPr="00AA4AB9">
        <w:t>s able to access available services and supports to meet the needs of the participant and their family</w:t>
      </w:r>
      <w:r>
        <w:t>.</w:t>
      </w:r>
    </w:p>
    <w:p w14:paraId="5A7D5A70" w14:textId="77777777" w:rsidR="006E6A52" w:rsidRPr="00AA4AB9" w:rsidRDefault="006E6A52" w:rsidP="006E6A52">
      <w:pPr>
        <w:pStyle w:val="ListParagraph"/>
        <w:numPr>
          <w:ilvl w:val="0"/>
          <w:numId w:val="111"/>
        </w:numPr>
      </w:pPr>
      <w:r w:rsidRPr="00AA4AB9">
        <w:t>Would like to receive services and supports needed to care for the participant at different times</w:t>
      </w:r>
      <w:r>
        <w:t>.</w:t>
      </w:r>
    </w:p>
    <w:p w14:paraId="16036D7B" w14:textId="77777777" w:rsidR="006E6A52" w:rsidRPr="00AA4AB9" w:rsidRDefault="006E6A52" w:rsidP="006E6A52">
      <w:pPr>
        <w:pStyle w:val="ListParagraph"/>
        <w:numPr>
          <w:ilvl w:val="0"/>
          <w:numId w:val="111"/>
        </w:numPr>
      </w:pPr>
      <w:r w:rsidRPr="00AA4AB9">
        <w:t>Family/carer would like to work more and participant is of school age</w:t>
      </w:r>
      <w:r>
        <w:t>.</w:t>
      </w:r>
    </w:p>
    <w:p w14:paraId="1C8BC5A7" w14:textId="77777777" w:rsidR="006E6A52" w:rsidRPr="00AA4AB9" w:rsidRDefault="006E6A52" w:rsidP="006E6A52">
      <w:pPr>
        <w:pStyle w:val="ListParagraph"/>
        <w:numPr>
          <w:ilvl w:val="0"/>
          <w:numId w:val="111"/>
        </w:numPr>
      </w:pPr>
      <w:r>
        <w:t>Family member/carer h</w:t>
      </w:r>
      <w:r w:rsidRPr="00AA4AB9">
        <w:t>as friends and family they see as often as they like</w:t>
      </w:r>
      <w:r>
        <w:t>.</w:t>
      </w:r>
    </w:p>
    <w:p w14:paraId="392A5376" w14:textId="77777777" w:rsidR="006E6A52" w:rsidRPr="0066001F" w:rsidRDefault="006E6A52" w:rsidP="006E6A52">
      <w:pPr>
        <w:pStyle w:val="ListParagraph"/>
        <w:numPr>
          <w:ilvl w:val="0"/>
          <w:numId w:val="111"/>
        </w:numPr>
      </w:pPr>
      <w:r w:rsidRPr="00AA4AB9">
        <w:t>Studying part-time or full-time</w:t>
      </w:r>
      <w:r>
        <w:t>.</w:t>
      </w:r>
    </w:p>
    <w:p w14:paraId="6A128C6F" w14:textId="7977F43B" w:rsidR="002F023A" w:rsidRDefault="002F023A" w:rsidP="002F023A">
      <w:pPr>
        <w:pStyle w:val="Heading2"/>
      </w:pPr>
      <w:bookmarkStart w:id="119" w:name="_Toc14269908"/>
      <w:bookmarkStart w:id="120" w:name="_Toc14353973"/>
      <w:r>
        <w:t xml:space="preserve">Slide 58: </w:t>
      </w:r>
      <w:r w:rsidRPr="00162775">
        <w:t>Key drivers of employment success for families/carers who did not have a paid job at baseline</w:t>
      </w:r>
      <w:bookmarkEnd w:id="119"/>
      <w:bookmarkEnd w:id="120"/>
    </w:p>
    <w:p w14:paraId="64A264DD" w14:textId="77777777" w:rsidR="002F023A" w:rsidRDefault="002F023A" w:rsidP="002F023A">
      <w:r>
        <w:t>A table shows the factors that decrease the likelihood of employment at review.</w:t>
      </w:r>
    </w:p>
    <w:p w14:paraId="45044F0C" w14:textId="77777777" w:rsidR="002F023A" w:rsidRDefault="002F023A" w:rsidP="002F023A">
      <w:r>
        <w:t>Of the first type, participant characteristics, the key drivers that decrease the likelihood of employment at review are:</w:t>
      </w:r>
    </w:p>
    <w:p w14:paraId="51595441" w14:textId="77777777" w:rsidR="002F023A" w:rsidRPr="00AA4AB9" w:rsidRDefault="002F023A" w:rsidP="002F023A">
      <w:pPr>
        <w:pStyle w:val="ListParagraph"/>
        <w:numPr>
          <w:ilvl w:val="0"/>
          <w:numId w:val="112"/>
        </w:numPr>
      </w:pPr>
      <w:r w:rsidRPr="00AA4AB9">
        <w:t>Streaming type is intensive or super intensive</w:t>
      </w:r>
      <w:r>
        <w:t>.</w:t>
      </w:r>
    </w:p>
    <w:p w14:paraId="6B0213BB" w14:textId="77777777" w:rsidR="002F023A" w:rsidRPr="00AA4AB9" w:rsidRDefault="002F023A" w:rsidP="002F023A">
      <w:pPr>
        <w:pStyle w:val="ListParagraph"/>
        <w:numPr>
          <w:ilvl w:val="0"/>
          <w:numId w:val="112"/>
        </w:numPr>
      </w:pPr>
      <w:r w:rsidRPr="00AA4AB9">
        <w:t>Identifies as Indigenous</w:t>
      </w:r>
      <w:r>
        <w:t>.</w:t>
      </w:r>
      <w:r w:rsidRPr="00AA4AB9">
        <w:t xml:space="preserve"> </w:t>
      </w:r>
    </w:p>
    <w:p w14:paraId="49BBF022" w14:textId="77777777" w:rsidR="002F023A" w:rsidRPr="00162775" w:rsidRDefault="002F023A" w:rsidP="002F023A">
      <w:pPr>
        <w:pStyle w:val="ListParagraph"/>
        <w:numPr>
          <w:ilvl w:val="0"/>
          <w:numId w:val="112"/>
        </w:numPr>
      </w:pPr>
      <w:r w:rsidRPr="00B05BB9">
        <w:rPr>
          <w:lang w:val="en-US"/>
        </w:rPr>
        <w:t>Index of Relative Socio-Economic Disadvantage (IRSD) decile score for the participant’s local government area (LGA).</w:t>
      </w:r>
    </w:p>
    <w:p w14:paraId="49F8244A" w14:textId="77777777" w:rsidR="002F023A" w:rsidRDefault="002F023A" w:rsidP="002F023A">
      <w:r>
        <w:t>Of the second type, family and carer baseline SF questionnaire responses, the key drivers that decrease the likelihood of employment at review are:</w:t>
      </w:r>
    </w:p>
    <w:p w14:paraId="4F94FFDA" w14:textId="77777777" w:rsidR="002F023A" w:rsidRPr="00AA4AB9" w:rsidRDefault="002F023A" w:rsidP="002F023A">
      <w:pPr>
        <w:pStyle w:val="ListParagraph"/>
        <w:numPr>
          <w:ilvl w:val="0"/>
          <w:numId w:val="113"/>
        </w:numPr>
      </w:pPr>
      <w:r w:rsidRPr="00AA4AB9">
        <w:t>Self-assessed health status is fair or poor</w:t>
      </w:r>
      <w:r>
        <w:t>.</w:t>
      </w:r>
    </w:p>
    <w:p w14:paraId="34458D95" w14:textId="77777777" w:rsidR="00921355" w:rsidRPr="00DF0B0A" w:rsidRDefault="00921355" w:rsidP="00921355">
      <w:pPr>
        <w:pStyle w:val="Heading2"/>
      </w:pPr>
      <w:bookmarkStart w:id="121" w:name="_Toc14247017"/>
      <w:bookmarkStart w:id="122" w:name="_Toc14353974"/>
      <w:r>
        <w:t>Slide</w:t>
      </w:r>
      <w:r w:rsidRPr="00DF0B0A">
        <w:t xml:space="preserve"> 59: Finding employment at review - family/carer ability to access services and supports</w:t>
      </w:r>
      <w:bookmarkEnd w:id="121"/>
      <w:bookmarkEnd w:id="122"/>
    </w:p>
    <w:p w14:paraId="6B5566E4" w14:textId="4736807B" w:rsidR="00921355" w:rsidRPr="00272BEF" w:rsidRDefault="00921355" w:rsidP="00921355">
      <w:r w:rsidRPr="00272BEF">
        <w:t xml:space="preserve">A chart </w:t>
      </w:r>
      <w:r w:rsidR="00B60690">
        <w:t>show</w:t>
      </w:r>
      <w:r w:rsidRPr="00272BEF">
        <w:t xml:space="preserve">s the employment success rate </w:t>
      </w:r>
      <w:r w:rsidR="000468FA">
        <w:t>for</w:t>
      </w:r>
      <w:r w:rsidRPr="00272BEF">
        <w:t xml:space="preserve"> families and carers </w:t>
      </w:r>
      <w:r w:rsidR="000468FA">
        <w:t>according to whether they are</w:t>
      </w:r>
      <w:r w:rsidRPr="00272BEF">
        <w:t xml:space="preserve"> able to access services and supports.</w:t>
      </w:r>
    </w:p>
    <w:p w14:paraId="46593848" w14:textId="77777777" w:rsidR="00921355" w:rsidRPr="00272BEF" w:rsidRDefault="00921355" w:rsidP="00921355">
      <w:r w:rsidRPr="00272BEF">
        <w:t>For families/carers of participants aged 0 to 14 not in paid work at baseline, the likelihood of finding employment at review is highest for those who are able to access available services and supports for their child and family without difficulty.</w:t>
      </w:r>
    </w:p>
    <w:p w14:paraId="67D0FAF2" w14:textId="77777777" w:rsidR="00921355" w:rsidRPr="00272BEF" w:rsidRDefault="00921355" w:rsidP="00921355">
      <w:r w:rsidRPr="00272BEF">
        <w:t>Having access to reasonable and necessary supports for their child through the NDIS and other informal and mainstream services may help families/ carers to have the time and confidence to pursue paid employment.</w:t>
      </w:r>
    </w:p>
    <w:p w14:paraId="195CE09F" w14:textId="77777777" w:rsidR="00921355" w:rsidRPr="00DF0B0A" w:rsidRDefault="00921355" w:rsidP="00921355">
      <w:pPr>
        <w:pStyle w:val="Heading2"/>
      </w:pPr>
      <w:bookmarkStart w:id="123" w:name="_Toc14247018"/>
      <w:bookmarkStart w:id="124" w:name="_Toc14353975"/>
      <w:r>
        <w:t>Slide</w:t>
      </w:r>
      <w:r w:rsidRPr="00DF0B0A">
        <w:t xml:space="preserve"> 60: Finding employment at review - participant streaming type and access decision</w:t>
      </w:r>
      <w:bookmarkEnd w:id="123"/>
      <w:bookmarkEnd w:id="124"/>
    </w:p>
    <w:p w14:paraId="1B21FCBF" w14:textId="283F1495" w:rsidR="00921355" w:rsidRPr="00272BEF" w:rsidRDefault="00921355" w:rsidP="00921355">
      <w:r w:rsidRPr="00272BEF">
        <w:t xml:space="preserve">Two charts </w:t>
      </w:r>
      <w:r w:rsidR="00B60690">
        <w:t>show</w:t>
      </w:r>
      <w:r w:rsidRPr="00272BEF">
        <w:t xml:space="preserve"> the employment success rate </w:t>
      </w:r>
      <w:r w:rsidR="00890524">
        <w:t>for</w:t>
      </w:r>
      <w:r w:rsidRPr="00272BEF">
        <w:t xml:space="preserve"> families and carers by the participant’s streaming type and access decision.</w:t>
      </w:r>
    </w:p>
    <w:p w14:paraId="01E9DBB8" w14:textId="39CFCF2E" w:rsidR="00921355" w:rsidRPr="00272BEF" w:rsidRDefault="00921355" w:rsidP="00921355">
      <w:r w:rsidRPr="00272BEF">
        <w:t xml:space="preserve">The first chart </w:t>
      </w:r>
      <w:r w:rsidR="00B60690">
        <w:t>show</w:t>
      </w:r>
      <w:r w:rsidRPr="00272BEF">
        <w:t xml:space="preserve">s the employment success rate </w:t>
      </w:r>
      <w:r w:rsidR="00890524">
        <w:t>for</w:t>
      </w:r>
      <w:r w:rsidRPr="00272BEF">
        <w:t xml:space="preserve"> families and carers by the participant’s streaming type.</w:t>
      </w:r>
    </w:p>
    <w:p w14:paraId="039EDB65" w14:textId="1DBB69D9" w:rsidR="00921355" w:rsidRPr="00272BEF" w:rsidRDefault="00921355" w:rsidP="00921355">
      <w:r w:rsidRPr="00272BEF">
        <w:t xml:space="preserve">The second chart </w:t>
      </w:r>
      <w:r w:rsidR="00B60690">
        <w:t>show</w:t>
      </w:r>
      <w:r w:rsidRPr="00272BEF">
        <w:t xml:space="preserve">s the employment success rate </w:t>
      </w:r>
      <w:r w:rsidR="00890524">
        <w:t>for</w:t>
      </w:r>
      <w:r w:rsidRPr="00272BEF">
        <w:t xml:space="preserve"> families and carers by the participant’s scheme entry access decision reason.</w:t>
      </w:r>
    </w:p>
    <w:p w14:paraId="005351FE" w14:textId="77777777" w:rsidR="00921355" w:rsidRPr="00272BEF" w:rsidRDefault="00921355" w:rsidP="00921355">
      <w:r w:rsidRPr="00272BEF">
        <w:t>Families/carers of participants streamed as intensive or super intensive have the lowest rates of success in finding paid employment, possibly because of additional caring responsibilities with regards to the child or due to adverse circumstances.</w:t>
      </w:r>
    </w:p>
    <w:p w14:paraId="177D2C66" w14:textId="77777777" w:rsidR="00921355" w:rsidRPr="00272BEF" w:rsidRDefault="00921355" w:rsidP="00921355">
      <w:r w:rsidRPr="00272BEF">
        <w:t>Families/carers of participants who accessed the Scheme through early intervention are more likely to have a paid job at review. Early intervention participants generally have a higher level of function compared to other participants. As a result, their families/carers may experience fewer barriers to finding employment.</w:t>
      </w:r>
    </w:p>
    <w:p w14:paraId="49A0D71B" w14:textId="77777777" w:rsidR="00921355" w:rsidRPr="00DF0B0A" w:rsidRDefault="00921355" w:rsidP="00921355">
      <w:pPr>
        <w:pStyle w:val="Heading2"/>
      </w:pPr>
      <w:bookmarkStart w:id="125" w:name="_Toc14247019"/>
      <w:bookmarkStart w:id="126" w:name="_Toc14353976"/>
      <w:r>
        <w:t>Slide</w:t>
      </w:r>
      <w:r w:rsidRPr="00DF0B0A">
        <w:t xml:space="preserve"> 61: Finding employment at review - family/carer want to work more</w:t>
      </w:r>
      <w:bookmarkEnd w:id="125"/>
      <w:bookmarkEnd w:id="126"/>
    </w:p>
    <w:p w14:paraId="3A6904C5" w14:textId="6908E087" w:rsidR="00921355" w:rsidRPr="00272BEF" w:rsidRDefault="00921355" w:rsidP="00921355">
      <w:r w:rsidRPr="00272BEF">
        <w:t xml:space="preserve">Two charts </w:t>
      </w:r>
      <w:r w:rsidR="00B60690">
        <w:t>show</w:t>
      </w:r>
      <w:r w:rsidRPr="00272BEF">
        <w:t xml:space="preserve"> the employment success rate </w:t>
      </w:r>
      <w:r w:rsidR="00205ED4">
        <w:t>for</w:t>
      </w:r>
      <w:r w:rsidRPr="00272BEF">
        <w:t xml:space="preserve"> families and carers of participants.</w:t>
      </w:r>
    </w:p>
    <w:p w14:paraId="69E8CADD" w14:textId="4264F66C" w:rsidR="00921355" w:rsidRPr="00272BEF" w:rsidRDefault="00921355" w:rsidP="00921355">
      <w:r w:rsidRPr="00272BEF">
        <w:t xml:space="preserve">The first chart </w:t>
      </w:r>
      <w:r w:rsidR="00B60690">
        <w:t>show</w:t>
      </w:r>
      <w:r w:rsidRPr="00272BEF">
        <w:t xml:space="preserve">s the employment success rate </w:t>
      </w:r>
      <w:r w:rsidR="00205ED4">
        <w:t>for</w:t>
      </w:r>
      <w:r w:rsidRPr="00272BEF">
        <w:t xml:space="preserve"> families and carers</w:t>
      </w:r>
      <w:r w:rsidR="00205ED4">
        <w:t xml:space="preserve"> by</w:t>
      </w:r>
      <w:r w:rsidRPr="00272BEF">
        <w:t xml:space="preserve"> whether the family member or carer wants to work more.</w:t>
      </w:r>
    </w:p>
    <w:p w14:paraId="22BB5D33" w14:textId="4E8BE0D7" w:rsidR="00921355" w:rsidRPr="00272BEF" w:rsidRDefault="00921355" w:rsidP="00921355">
      <w:r w:rsidRPr="00272BEF">
        <w:t xml:space="preserve">The second chart </w:t>
      </w:r>
      <w:r w:rsidR="00B60690">
        <w:t>show</w:t>
      </w:r>
      <w:r w:rsidRPr="00272BEF">
        <w:t xml:space="preserve">s the employment success rate </w:t>
      </w:r>
      <w:r w:rsidR="00205ED4">
        <w:t>for</w:t>
      </w:r>
      <w:r w:rsidRPr="00272BEF">
        <w:t xml:space="preserve"> families and carers of participants </w:t>
      </w:r>
      <w:r w:rsidR="00205ED4">
        <w:t>by</w:t>
      </w:r>
      <w:r w:rsidRPr="00272BEF">
        <w:t xml:space="preserve"> whether the family member or carer wants to work more, and the age group of the participant.</w:t>
      </w:r>
    </w:p>
    <w:p w14:paraId="08F32A00" w14:textId="77777777" w:rsidR="00921355" w:rsidRPr="00272BEF" w:rsidRDefault="00921355" w:rsidP="00921355">
      <w:r w:rsidRPr="00272BEF">
        <w:t xml:space="preserve">Although the likelihood of finding a job at review is higher for families/carers who are motivated to find employment compared to those who don’t want to work more, the difference is not large. </w:t>
      </w:r>
    </w:p>
    <w:p w14:paraId="739EE583" w14:textId="77777777" w:rsidR="00921355" w:rsidRPr="00272BEF" w:rsidRDefault="00921355" w:rsidP="00921355">
      <w:r w:rsidRPr="00272BEF">
        <w:t>Driven by changes in family circumstances, such as the child beginning school or childcare, motivation to find work might change over the course of the year.</w:t>
      </w:r>
    </w:p>
    <w:p w14:paraId="31D7D68A" w14:textId="77777777" w:rsidR="00921355" w:rsidRPr="00272BEF" w:rsidRDefault="00921355" w:rsidP="00921355">
      <w:r w:rsidRPr="00272BEF">
        <w:t>A positive relationship between motivation and employment success is only observed when participants are aged 6 to 14, at which age most children are enrolled in school and the circumstances of the family may have become more stable.</w:t>
      </w:r>
    </w:p>
    <w:p w14:paraId="15217BAB" w14:textId="77777777" w:rsidR="00921355" w:rsidRPr="00DF0B0A" w:rsidRDefault="00921355" w:rsidP="00921355">
      <w:pPr>
        <w:pStyle w:val="Heading2"/>
      </w:pPr>
      <w:bookmarkStart w:id="127" w:name="_Toc14247020"/>
      <w:bookmarkStart w:id="128" w:name="_Toc14353977"/>
      <w:r>
        <w:t>Slide</w:t>
      </w:r>
      <w:r w:rsidRPr="00DF0B0A">
        <w:t xml:space="preserve"> 62: Finding employment at review – participant’s plan management type</w:t>
      </w:r>
      <w:bookmarkEnd w:id="127"/>
      <w:bookmarkEnd w:id="128"/>
    </w:p>
    <w:p w14:paraId="40920598" w14:textId="3451DEAD" w:rsidR="00921355" w:rsidRPr="00272BEF" w:rsidRDefault="00921355" w:rsidP="00921355">
      <w:r w:rsidRPr="00272BEF">
        <w:t xml:space="preserve">A chart </w:t>
      </w:r>
      <w:r w:rsidR="00B60690">
        <w:t>show</w:t>
      </w:r>
      <w:r w:rsidRPr="00272BEF">
        <w:t>s the employment success rate f</w:t>
      </w:r>
      <w:r w:rsidR="00205ED4">
        <w:t>or</w:t>
      </w:r>
      <w:r w:rsidRPr="00272BEF">
        <w:t xml:space="preserve"> families and carers of participants based on their plan management type.</w:t>
      </w:r>
    </w:p>
    <w:p w14:paraId="3CED7415" w14:textId="77777777" w:rsidR="00921355" w:rsidRPr="00272BEF" w:rsidRDefault="00921355" w:rsidP="00921355">
      <w:r w:rsidRPr="00272BEF">
        <w:t xml:space="preserve">Families and carers who fully or partly self-manage a child participant’s plan are found to have a significantly higher likelihood of finding paid work at review compared to families/carers who use other plan management methods. The observed relationship may be due to the following reasons: </w:t>
      </w:r>
    </w:p>
    <w:p w14:paraId="7C8B17A0" w14:textId="4CB5532E" w:rsidR="00921355" w:rsidRPr="00272BEF" w:rsidRDefault="00921355" w:rsidP="00921355">
      <w:pPr>
        <w:pStyle w:val="ListParagraph"/>
        <w:numPr>
          <w:ilvl w:val="0"/>
          <w:numId w:val="113"/>
        </w:numPr>
      </w:pPr>
      <w:r w:rsidRPr="00272BEF">
        <w:t xml:space="preserve">Since self-management gives more flexibility and control in choosing the appropriate support for the child, families/carers may have selected the supports that would help them participate in the workforce. </w:t>
      </w:r>
    </w:p>
    <w:p w14:paraId="7F1658B2" w14:textId="655AE191" w:rsidR="00921355" w:rsidRPr="00272BEF" w:rsidRDefault="00921355" w:rsidP="00921355">
      <w:pPr>
        <w:pStyle w:val="ListParagraph"/>
        <w:numPr>
          <w:ilvl w:val="0"/>
          <w:numId w:val="113"/>
        </w:numPr>
      </w:pPr>
      <w:r w:rsidRPr="00272BEF">
        <w:t>Self-management requires additional time and skills from families/carers, including purchasing supports, negotiating provider agreements, managing funding, and more. Having such skills may indicate a greater level of work-readiness of the family member or carer, and therefore increases their chances of finding employment.</w:t>
      </w:r>
    </w:p>
    <w:p w14:paraId="4B692CFB" w14:textId="77777777" w:rsidR="00921355" w:rsidRPr="00DF0B0A" w:rsidRDefault="00921355" w:rsidP="00921355">
      <w:pPr>
        <w:pStyle w:val="Heading2"/>
      </w:pPr>
      <w:bookmarkStart w:id="129" w:name="_Toc14247021"/>
      <w:bookmarkStart w:id="130" w:name="_Toc14353978"/>
      <w:r>
        <w:t>Slide</w:t>
      </w:r>
      <w:r w:rsidRPr="00DF0B0A">
        <w:t xml:space="preserve"> 63: Finding employment at review - Health status of family and carers</w:t>
      </w:r>
      <w:bookmarkEnd w:id="129"/>
      <w:bookmarkEnd w:id="130"/>
    </w:p>
    <w:p w14:paraId="1CEF7F3D" w14:textId="4CA6D94E" w:rsidR="00921355" w:rsidRPr="00272BEF" w:rsidRDefault="00921355" w:rsidP="00921355">
      <w:r w:rsidRPr="00272BEF">
        <w:t xml:space="preserve">A chart </w:t>
      </w:r>
      <w:r w:rsidR="00B60690">
        <w:t>show</w:t>
      </w:r>
      <w:r w:rsidRPr="00272BEF">
        <w:t>s the employment success rate of families and carers of participants based on the self-assessment of health of the family member or carer.</w:t>
      </w:r>
    </w:p>
    <w:p w14:paraId="2AF109C6" w14:textId="77777777" w:rsidR="00921355" w:rsidRPr="00272BEF" w:rsidRDefault="00921355" w:rsidP="00921355">
      <w:r w:rsidRPr="00272BEF">
        <w:t>There is a clear downward trend in the likelihood of a family member or carer finding work as the assessment of their health deteriorates. This is expected as family/ carers with better health have greater capacity to couple work and caring for their child/family member.</w:t>
      </w:r>
    </w:p>
    <w:p w14:paraId="42DC47E2" w14:textId="23C8AF1D" w:rsidR="00B110A9" w:rsidRDefault="00B110A9" w:rsidP="00B110A9">
      <w:pPr>
        <w:pStyle w:val="Heading2"/>
      </w:pPr>
      <w:bookmarkStart w:id="131" w:name="_Toc14269909"/>
      <w:bookmarkStart w:id="132" w:name="_Toc14353979"/>
      <w:r>
        <w:t xml:space="preserve">Slide 64: </w:t>
      </w:r>
      <w:r w:rsidRPr="00934818">
        <w:t>Key drivers of employment success for families/carers who had a paid job at baseline</w:t>
      </w:r>
      <w:bookmarkEnd w:id="131"/>
      <w:bookmarkEnd w:id="132"/>
    </w:p>
    <w:p w14:paraId="17BE863D" w14:textId="77777777" w:rsidR="00B110A9" w:rsidRDefault="00B110A9" w:rsidP="00B110A9">
      <w:r w:rsidRPr="0046723C">
        <w:t xml:space="preserve">A table </w:t>
      </w:r>
      <w:r>
        <w:t>show</w:t>
      </w:r>
      <w:r w:rsidRPr="0046723C">
        <w:t>s the factors that increase the lik</w:t>
      </w:r>
      <w:r>
        <w:t>elihood of employment at review.</w:t>
      </w:r>
    </w:p>
    <w:p w14:paraId="0330A389" w14:textId="77777777" w:rsidR="00B110A9" w:rsidRDefault="00B110A9" w:rsidP="00B110A9">
      <w:r w:rsidRPr="0046723C">
        <w:t>Of the first type, participant characteristics, the key drivers that increase the likelihood of employment at review are:</w:t>
      </w:r>
    </w:p>
    <w:p w14:paraId="7BFE7C48" w14:textId="77777777" w:rsidR="00B110A9" w:rsidRPr="009C14DB" w:rsidRDefault="00B110A9" w:rsidP="00B110A9">
      <w:pPr>
        <w:pStyle w:val="ListParagraph"/>
        <w:numPr>
          <w:ilvl w:val="0"/>
          <w:numId w:val="113"/>
        </w:numPr>
      </w:pPr>
      <w:r w:rsidRPr="009C14DB">
        <w:t>Scheme entry age</w:t>
      </w:r>
      <w:r>
        <w:t>.</w:t>
      </w:r>
    </w:p>
    <w:p w14:paraId="6CF2DB3B" w14:textId="77777777" w:rsidR="00B110A9" w:rsidRPr="009C14DB" w:rsidRDefault="00B110A9" w:rsidP="00B110A9">
      <w:pPr>
        <w:pStyle w:val="ListParagraph"/>
        <w:numPr>
          <w:ilvl w:val="0"/>
          <w:numId w:val="113"/>
        </w:numPr>
      </w:pPr>
      <w:r w:rsidRPr="009C14DB">
        <w:t>Scheme access reason is ‘benefit from early intervention’</w:t>
      </w:r>
      <w:r>
        <w:t>.</w:t>
      </w:r>
    </w:p>
    <w:p w14:paraId="3BD147C4" w14:textId="77777777" w:rsidR="00B110A9" w:rsidRPr="009C14DB" w:rsidRDefault="00B110A9" w:rsidP="00B110A9">
      <w:pPr>
        <w:pStyle w:val="ListParagraph"/>
        <w:numPr>
          <w:ilvl w:val="0"/>
          <w:numId w:val="113"/>
        </w:numPr>
      </w:pPr>
      <w:r w:rsidRPr="009C14DB">
        <w:t>Plan is partly self-managed</w:t>
      </w:r>
      <w:r>
        <w:t>.</w:t>
      </w:r>
    </w:p>
    <w:p w14:paraId="66BB023E" w14:textId="77777777" w:rsidR="00B110A9" w:rsidRDefault="00B110A9" w:rsidP="00B110A9">
      <w:pPr>
        <w:pStyle w:val="ListParagraph"/>
        <w:numPr>
          <w:ilvl w:val="0"/>
          <w:numId w:val="113"/>
        </w:numPr>
      </w:pPr>
      <w:r w:rsidRPr="009C14DB">
        <w:t>Participant lives in VIC</w:t>
      </w:r>
      <w:r>
        <w:t>.</w:t>
      </w:r>
    </w:p>
    <w:p w14:paraId="2F51EEC6" w14:textId="77777777" w:rsidR="00B110A9" w:rsidRDefault="00B110A9" w:rsidP="00B110A9">
      <w:r w:rsidRPr="0046723C">
        <w:t xml:space="preserve">Of the </w:t>
      </w:r>
      <w:r>
        <w:t>second</w:t>
      </w:r>
      <w:r w:rsidRPr="0046723C">
        <w:t xml:space="preserve"> type, </w:t>
      </w:r>
      <w:r>
        <w:t xml:space="preserve">family and </w:t>
      </w:r>
      <w:r w:rsidRPr="00AA4AB9">
        <w:t>carer baseline SF questionnaire responses</w:t>
      </w:r>
      <w:r w:rsidRPr="0046723C">
        <w:t>, the key drivers that increase the likelihood of employment at review are:</w:t>
      </w:r>
    </w:p>
    <w:p w14:paraId="7541EB22" w14:textId="77777777" w:rsidR="00B110A9" w:rsidRPr="009C14DB" w:rsidRDefault="00B110A9" w:rsidP="00B110A9">
      <w:pPr>
        <w:pStyle w:val="ListParagraph"/>
        <w:numPr>
          <w:ilvl w:val="0"/>
          <w:numId w:val="114"/>
        </w:numPr>
      </w:pPr>
      <w:r w:rsidRPr="009C14DB">
        <w:t xml:space="preserve">Number of </w:t>
      </w:r>
      <w:r>
        <w:t>hours typically worked per week.</w:t>
      </w:r>
    </w:p>
    <w:p w14:paraId="7CE662F2" w14:textId="77777777" w:rsidR="00B110A9" w:rsidRPr="009C14DB" w:rsidRDefault="00B110A9" w:rsidP="00B110A9">
      <w:pPr>
        <w:pStyle w:val="ListParagraph"/>
        <w:numPr>
          <w:ilvl w:val="0"/>
          <w:numId w:val="114"/>
        </w:numPr>
      </w:pPr>
      <w:r w:rsidRPr="009C14DB">
        <w:t>Is very confident or somewhat confident in supporting the child’s development</w:t>
      </w:r>
      <w:r>
        <w:t>.</w:t>
      </w:r>
    </w:p>
    <w:p w14:paraId="2D6ED7D3" w14:textId="77777777" w:rsidR="00B110A9" w:rsidRPr="009C14DB" w:rsidRDefault="00B110A9" w:rsidP="00B110A9">
      <w:pPr>
        <w:pStyle w:val="ListParagraph"/>
        <w:numPr>
          <w:ilvl w:val="0"/>
          <w:numId w:val="114"/>
        </w:numPr>
      </w:pPr>
      <w:r w:rsidRPr="009C14DB">
        <w:t>Is able to access available services and supports to meet the needs of the participant and their family</w:t>
      </w:r>
      <w:r>
        <w:t>.</w:t>
      </w:r>
    </w:p>
    <w:p w14:paraId="105A8183" w14:textId="77777777" w:rsidR="00B110A9" w:rsidRPr="009C14DB" w:rsidRDefault="00B110A9" w:rsidP="00B110A9">
      <w:pPr>
        <w:pStyle w:val="ListParagraph"/>
        <w:numPr>
          <w:ilvl w:val="0"/>
          <w:numId w:val="114"/>
        </w:numPr>
      </w:pPr>
      <w:r w:rsidRPr="009C14DB">
        <w:t>Would like to receive services and supports needed to care for the participant at different times</w:t>
      </w:r>
      <w:r>
        <w:t>.</w:t>
      </w:r>
    </w:p>
    <w:p w14:paraId="7B27397B" w14:textId="77777777" w:rsidR="00B110A9" w:rsidRPr="009C14DB" w:rsidRDefault="00B110A9" w:rsidP="00B110A9">
      <w:pPr>
        <w:pStyle w:val="ListParagraph"/>
        <w:numPr>
          <w:ilvl w:val="0"/>
          <w:numId w:val="114"/>
        </w:numPr>
      </w:pPr>
      <w:r w:rsidRPr="009C14DB">
        <w:t>Relationship to participant is father (rather than mother or other)</w:t>
      </w:r>
      <w:r>
        <w:t>.</w:t>
      </w:r>
    </w:p>
    <w:p w14:paraId="2AD51B0C" w14:textId="08050E42" w:rsidR="00B110A9" w:rsidRDefault="00B110A9" w:rsidP="00B110A9">
      <w:pPr>
        <w:pStyle w:val="Heading2"/>
      </w:pPr>
      <w:bookmarkStart w:id="133" w:name="_Toc14269910"/>
      <w:bookmarkStart w:id="134" w:name="_Toc14353980"/>
      <w:r>
        <w:t xml:space="preserve">Slide 65: </w:t>
      </w:r>
      <w:r w:rsidRPr="009C14DB">
        <w:t>Key drivers of employment success for families/carers who had a paid job at baseline</w:t>
      </w:r>
      <w:bookmarkEnd w:id="133"/>
      <w:bookmarkEnd w:id="134"/>
    </w:p>
    <w:p w14:paraId="4C7B5C79" w14:textId="77777777" w:rsidR="00B110A9" w:rsidRDefault="00B110A9" w:rsidP="00B110A9">
      <w:r>
        <w:t>A table shows the factors that decrease the likelihood of employment at review.</w:t>
      </w:r>
    </w:p>
    <w:p w14:paraId="339761E1" w14:textId="77777777" w:rsidR="00B110A9" w:rsidRDefault="00B110A9" w:rsidP="00B110A9">
      <w:r>
        <w:t>Of the first type, participant characteristics, the key drivers that decrease the likelihood of employment at review are:</w:t>
      </w:r>
    </w:p>
    <w:p w14:paraId="5192B8FF" w14:textId="77777777" w:rsidR="00B110A9" w:rsidRPr="009C14DB" w:rsidRDefault="00B110A9" w:rsidP="00B110A9">
      <w:pPr>
        <w:pStyle w:val="ListParagraph"/>
        <w:numPr>
          <w:ilvl w:val="0"/>
          <w:numId w:val="115"/>
        </w:numPr>
      </w:pPr>
      <w:r w:rsidRPr="009C14DB">
        <w:t>Streaming type is intensive or super intensive</w:t>
      </w:r>
      <w:r>
        <w:t>.</w:t>
      </w:r>
    </w:p>
    <w:p w14:paraId="04CFFAB0" w14:textId="77777777" w:rsidR="00B110A9" w:rsidRDefault="00B110A9" w:rsidP="00B110A9">
      <w:pPr>
        <w:pStyle w:val="ListParagraph"/>
        <w:numPr>
          <w:ilvl w:val="0"/>
          <w:numId w:val="115"/>
        </w:numPr>
      </w:pPr>
      <w:r w:rsidRPr="009C14DB">
        <w:t>Participant relocated during plan period</w:t>
      </w:r>
      <w:r>
        <w:t>.</w:t>
      </w:r>
    </w:p>
    <w:p w14:paraId="39D0E291" w14:textId="77777777" w:rsidR="00B110A9" w:rsidRDefault="00B110A9" w:rsidP="00B110A9">
      <w:r>
        <w:t>Of the second type, family and carer baseline SF questionnaire responses, the key driver that decreases the likelihood of employment at review is:</w:t>
      </w:r>
    </w:p>
    <w:p w14:paraId="1D90AA19" w14:textId="77777777" w:rsidR="00B110A9" w:rsidRPr="009C14DB" w:rsidRDefault="00B110A9" w:rsidP="00B110A9">
      <w:pPr>
        <w:pStyle w:val="ListParagraph"/>
        <w:numPr>
          <w:ilvl w:val="0"/>
          <w:numId w:val="116"/>
        </w:numPr>
      </w:pPr>
      <w:r w:rsidRPr="009C14DB">
        <w:t>Type of employment is casual</w:t>
      </w:r>
      <w:r>
        <w:t>.</w:t>
      </w:r>
    </w:p>
    <w:p w14:paraId="5D35B9FD" w14:textId="77777777" w:rsidR="001C6748" w:rsidRPr="00DF0B0A" w:rsidRDefault="001C6748" w:rsidP="001C6748">
      <w:pPr>
        <w:pStyle w:val="Heading2"/>
      </w:pPr>
      <w:bookmarkStart w:id="135" w:name="_Toc14247024"/>
      <w:bookmarkStart w:id="136" w:name="_Toc14353981"/>
      <w:r>
        <w:t>Slide</w:t>
      </w:r>
      <w:r w:rsidRPr="00DF0B0A">
        <w:t xml:space="preserve"> 66: Maintaining employment at review - Hours and type of employment</w:t>
      </w:r>
      <w:bookmarkEnd w:id="135"/>
      <w:bookmarkEnd w:id="136"/>
    </w:p>
    <w:p w14:paraId="712D0197" w14:textId="5CF3E467" w:rsidR="001C6748" w:rsidRPr="00272BEF" w:rsidRDefault="001C6748" w:rsidP="001C6748">
      <w:r w:rsidRPr="00272BEF">
        <w:t xml:space="preserve">Two charts </w:t>
      </w:r>
      <w:r w:rsidR="00B60690">
        <w:t>show</w:t>
      </w:r>
      <w:r w:rsidRPr="00272BEF">
        <w:t xml:space="preserve"> the employment success rate for families and carers of participants.</w:t>
      </w:r>
    </w:p>
    <w:p w14:paraId="66A2E029" w14:textId="52E7A664" w:rsidR="001C6748" w:rsidRPr="00272BEF" w:rsidRDefault="001C6748" w:rsidP="001C6748">
      <w:r w:rsidRPr="00272BEF">
        <w:t xml:space="preserve">The first chart </w:t>
      </w:r>
      <w:r w:rsidR="00B60690">
        <w:t>show</w:t>
      </w:r>
      <w:r w:rsidRPr="00272BEF">
        <w:t>s the employment success rate for families and carers of participants based on the type of employment at baseline (i.e. permanent or casual).</w:t>
      </w:r>
    </w:p>
    <w:p w14:paraId="117E6ABA" w14:textId="0EE1A619" w:rsidR="001C6748" w:rsidRPr="00272BEF" w:rsidRDefault="001C6748" w:rsidP="001C6748">
      <w:r w:rsidRPr="00272BEF">
        <w:t xml:space="preserve">The second chart </w:t>
      </w:r>
      <w:r w:rsidR="00B60690">
        <w:t>show</w:t>
      </w:r>
      <w:r w:rsidRPr="00272BEF">
        <w:t>s the employment success rate for families and carers of participants based on their typical hours worked at baseline.</w:t>
      </w:r>
    </w:p>
    <w:p w14:paraId="39D10F47" w14:textId="77777777" w:rsidR="001C6748" w:rsidRPr="00272BEF" w:rsidRDefault="001C6748" w:rsidP="001C6748">
      <w:r w:rsidRPr="00272BEF">
        <w:t>Families and carers who are employed in a casual job at baseline are less likely to have paid work at review compared to those who are permanently employed. Casual work may be less secure, and irregular hours and lack of paid leave can make it challenging to balance work and caring responsibilities.</w:t>
      </w:r>
    </w:p>
    <w:p w14:paraId="2443E8FE" w14:textId="77777777" w:rsidR="001C6748" w:rsidRPr="00272BEF" w:rsidRDefault="001C6748" w:rsidP="001C6748">
      <w:r w:rsidRPr="00272BEF">
        <w:t>The likelihood of maintaining paid work at review is shown to increase with the number of hours the family/ carer works per week at baseline. Choosing to work less hours may indicate that family circumstances are more complex, which could reduce the family member/carer’s capacity to work.</w:t>
      </w:r>
    </w:p>
    <w:p w14:paraId="225DCA9E" w14:textId="5A964BE8" w:rsidR="00C72C55" w:rsidRDefault="00C72C55" w:rsidP="00C72C55">
      <w:pPr>
        <w:pStyle w:val="Heading2"/>
        <w:rPr>
          <w:rFonts w:hAnsi="Times New Roman" w:cs="Arial"/>
          <w:kern w:val="24"/>
          <w:szCs w:val="24"/>
        </w:rPr>
      </w:pPr>
      <w:bookmarkStart w:id="137" w:name="_Toc14332623"/>
      <w:bookmarkStart w:id="138" w:name="_Toc14353982"/>
      <w:r>
        <w:t xml:space="preserve">Slide 67: </w:t>
      </w:r>
      <w:r>
        <w:rPr>
          <w:rFonts w:hAnsi="Times New Roman" w:cs="Arial"/>
          <w:kern w:val="24"/>
          <w:szCs w:val="24"/>
        </w:rPr>
        <w:t xml:space="preserve">NDIS </w:t>
      </w:r>
      <w:hyperlink r:id="rId11" w:history="1">
        <w:r w:rsidRPr="000063BD">
          <w:rPr>
            <w:rStyle w:val="Hyperlink"/>
            <w:rFonts w:hAnsi="Times New Roman" w:cs="Arial"/>
            <w:kern w:val="24"/>
            <w:szCs w:val="24"/>
          </w:rPr>
          <w:t>www.ndis.gov.au</w:t>
        </w:r>
        <w:bookmarkEnd w:id="137"/>
        <w:bookmarkEnd w:id="138"/>
      </w:hyperlink>
    </w:p>
    <w:bookmarkEnd w:id="0"/>
    <w:bookmarkEnd w:id="1"/>
    <w:p w14:paraId="5223E515" w14:textId="77777777" w:rsidR="006E6A52" w:rsidRPr="00272BEF" w:rsidRDefault="006E6A52" w:rsidP="006E6A52"/>
    <w:sectPr w:rsidR="006E6A52" w:rsidRPr="00272BEF" w:rsidSect="009165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0661A" w14:textId="77777777" w:rsidR="00DE7E92" w:rsidRDefault="00DE7E92" w:rsidP="007219F1">
      <w:pPr>
        <w:spacing w:after="0" w:line="240" w:lineRule="auto"/>
      </w:pPr>
      <w:r>
        <w:separator/>
      </w:r>
    </w:p>
    <w:p w14:paraId="6AC9E077" w14:textId="77777777" w:rsidR="00DE7E92" w:rsidRDefault="00DE7E92"/>
    <w:p w14:paraId="301BD3D8" w14:textId="77777777" w:rsidR="00DE7E92" w:rsidRDefault="00DE7E92"/>
  </w:endnote>
  <w:endnote w:type="continuationSeparator" w:id="0">
    <w:p w14:paraId="07B6845B" w14:textId="77777777" w:rsidR="00DE7E92" w:rsidRDefault="00DE7E92" w:rsidP="007219F1">
      <w:pPr>
        <w:spacing w:after="0" w:line="240" w:lineRule="auto"/>
      </w:pPr>
      <w:r>
        <w:continuationSeparator/>
      </w:r>
    </w:p>
    <w:p w14:paraId="000039AE" w14:textId="77777777" w:rsidR="00DE7E92" w:rsidRDefault="00DE7E92"/>
    <w:p w14:paraId="2D1CA583" w14:textId="77777777" w:rsidR="00DE7E92" w:rsidRDefault="00DE7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2D67" w14:textId="77777777" w:rsidR="00DE7E92" w:rsidRDefault="00DE7E92">
    <w:pPr>
      <w:pStyle w:val="Footer"/>
    </w:pPr>
  </w:p>
  <w:p w14:paraId="62E29BCF" w14:textId="77777777" w:rsidR="00DE7E92" w:rsidRDefault="00DE7E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7" w14:textId="77777777" w:rsidR="00DE7E92" w:rsidRPr="00C330B4" w:rsidRDefault="00DE7E92" w:rsidP="007219F1">
    <w:pPr>
      <w:pStyle w:val="Footer"/>
      <w:jc w:val="center"/>
      <w:rPr>
        <w:rFonts w:cs="Arial"/>
      </w:rPr>
    </w:pPr>
  </w:p>
  <w:p w14:paraId="1BF43438" w14:textId="77777777" w:rsidR="00DE7E92" w:rsidRPr="00C330B4" w:rsidRDefault="00DE7E92">
    <w:pPr>
      <w:rPr>
        <w:rFonts w:cs="Arial"/>
      </w:rPr>
    </w:pPr>
  </w:p>
  <w:p w14:paraId="3888199B" w14:textId="77777777" w:rsidR="00DE7E92" w:rsidRDefault="00DE7E9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9" w14:textId="146488FF" w:rsidR="00DE7E92" w:rsidRPr="000B1117" w:rsidRDefault="00DE7E92" w:rsidP="000B1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11F0B" w14:textId="77777777" w:rsidR="00DE7E92" w:rsidRDefault="00DE7E92" w:rsidP="007219F1">
      <w:pPr>
        <w:spacing w:after="0" w:line="240" w:lineRule="auto"/>
      </w:pPr>
      <w:r>
        <w:separator/>
      </w:r>
    </w:p>
    <w:p w14:paraId="66B0BBA4" w14:textId="77777777" w:rsidR="00DE7E92" w:rsidRDefault="00DE7E92"/>
    <w:p w14:paraId="057316DC" w14:textId="77777777" w:rsidR="00DE7E92" w:rsidRDefault="00DE7E92"/>
  </w:footnote>
  <w:footnote w:type="continuationSeparator" w:id="0">
    <w:p w14:paraId="27B7CF65" w14:textId="77777777" w:rsidR="00DE7E92" w:rsidRDefault="00DE7E92" w:rsidP="007219F1">
      <w:pPr>
        <w:spacing w:after="0" w:line="240" w:lineRule="auto"/>
      </w:pPr>
      <w:r>
        <w:continuationSeparator/>
      </w:r>
    </w:p>
    <w:p w14:paraId="519C2650" w14:textId="77777777" w:rsidR="00DE7E92" w:rsidRDefault="00DE7E92"/>
    <w:p w14:paraId="6CD250E4" w14:textId="77777777" w:rsidR="00DE7E92" w:rsidRDefault="00DE7E92"/>
  </w:footnote>
  <w:footnote w:id="1">
    <w:p w14:paraId="01BBAF39" w14:textId="65FE0E7E" w:rsidR="00DE7E92" w:rsidRDefault="00DE7E92">
      <w:pPr>
        <w:pStyle w:val="FootnoteText"/>
      </w:pPr>
      <w:r>
        <w:rPr>
          <w:rStyle w:val="FootnoteReference"/>
        </w:rPr>
        <w:footnoteRef/>
      </w:r>
      <w:r>
        <w:t xml:space="preserve"> </w:t>
      </w:r>
      <w:r w:rsidRPr="005D2AF1">
        <w:t>2015 ABS Survey of Disability, Ageing and Carers (SDAC)</w:t>
      </w:r>
      <w:r>
        <w:t xml:space="preserve">, and </w:t>
      </w:r>
      <w:r w:rsidRPr="005D2AF1">
        <w:t>OECD (2010) Sickness, Disability and Work: Synthesis of findings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100E" w14:textId="77777777" w:rsidR="00DE7E92" w:rsidRDefault="00DE7E92">
    <w:pPr>
      <w:pStyle w:val="Header"/>
    </w:pPr>
  </w:p>
  <w:p w14:paraId="52FB035B" w14:textId="77777777" w:rsidR="00DE7E92" w:rsidRDefault="00DE7E9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A74E" w14:textId="77777777" w:rsidR="00DE7E92" w:rsidRDefault="00DE7E92">
    <w:pPr>
      <w:pStyle w:val="Header"/>
    </w:pPr>
  </w:p>
  <w:p w14:paraId="3C53CA3B" w14:textId="77777777" w:rsidR="00DE7E92" w:rsidRDefault="00DE7E9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4F55" w14:textId="77777777" w:rsidR="00DE7E92" w:rsidRDefault="00DE7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AB9"/>
    <w:multiLevelType w:val="hybridMultilevel"/>
    <w:tmpl w:val="BAFAB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D3AB7"/>
    <w:multiLevelType w:val="hybridMultilevel"/>
    <w:tmpl w:val="63341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F1646"/>
    <w:multiLevelType w:val="hybridMultilevel"/>
    <w:tmpl w:val="3BE8B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92B7F"/>
    <w:multiLevelType w:val="hybridMultilevel"/>
    <w:tmpl w:val="BDC49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BD038D"/>
    <w:multiLevelType w:val="hybridMultilevel"/>
    <w:tmpl w:val="F4A4B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C82E54"/>
    <w:multiLevelType w:val="hybridMultilevel"/>
    <w:tmpl w:val="F7E2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4D02F0"/>
    <w:multiLevelType w:val="hybridMultilevel"/>
    <w:tmpl w:val="E528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017250"/>
    <w:multiLevelType w:val="hybridMultilevel"/>
    <w:tmpl w:val="64AEC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642796"/>
    <w:multiLevelType w:val="hybridMultilevel"/>
    <w:tmpl w:val="C75A6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EB3A38"/>
    <w:multiLevelType w:val="hybridMultilevel"/>
    <w:tmpl w:val="62F6D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97016"/>
    <w:multiLevelType w:val="hybridMultilevel"/>
    <w:tmpl w:val="2F32F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E7B6A"/>
    <w:multiLevelType w:val="hybridMultilevel"/>
    <w:tmpl w:val="A4060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F069B"/>
    <w:multiLevelType w:val="hybridMultilevel"/>
    <w:tmpl w:val="29700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B00469"/>
    <w:multiLevelType w:val="hybridMultilevel"/>
    <w:tmpl w:val="D066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D22304"/>
    <w:multiLevelType w:val="hybridMultilevel"/>
    <w:tmpl w:val="2BA2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684285"/>
    <w:multiLevelType w:val="hybridMultilevel"/>
    <w:tmpl w:val="6702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93437B"/>
    <w:multiLevelType w:val="hybridMultilevel"/>
    <w:tmpl w:val="C2A0F924"/>
    <w:lvl w:ilvl="0" w:tplc="6A7C713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6347036"/>
    <w:multiLevelType w:val="hybridMultilevel"/>
    <w:tmpl w:val="4C7A4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80218C"/>
    <w:multiLevelType w:val="hybridMultilevel"/>
    <w:tmpl w:val="8514E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C2304E"/>
    <w:multiLevelType w:val="hybridMultilevel"/>
    <w:tmpl w:val="B4FA4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E04296"/>
    <w:multiLevelType w:val="hybridMultilevel"/>
    <w:tmpl w:val="4EDA7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2C0C01"/>
    <w:multiLevelType w:val="hybridMultilevel"/>
    <w:tmpl w:val="568CA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412C1A"/>
    <w:multiLevelType w:val="hybridMultilevel"/>
    <w:tmpl w:val="15969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CD13863"/>
    <w:multiLevelType w:val="hybridMultilevel"/>
    <w:tmpl w:val="E7A2C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CF4032D"/>
    <w:multiLevelType w:val="hybridMultilevel"/>
    <w:tmpl w:val="27A8C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DC13DE9"/>
    <w:multiLevelType w:val="hybridMultilevel"/>
    <w:tmpl w:val="A498D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E0D176B"/>
    <w:multiLevelType w:val="hybridMultilevel"/>
    <w:tmpl w:val="4F305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ED2759"/>
    <w:multiLevelType w:val="hybridMultilevel"/>
    <w:tmpl w:val="7C2AE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C95107"/>
    <w:multiLevelType w:val="hybridMultilevel"/>
    <w:tmpl w:val="93522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28A4176"/>
    <w:multiLevelType w:val="hybridMultilevel"/>
    <w:tmpl w:val="4070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3D14106"/>
    <w:multiLevelType w:val="hybridMultilevel"/>
    <w:tmpl w:val="83A24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4D81D18"/>
    <w:multiLevelType w:val="hybridMultilevel"/>
    <w:tmpl w:val="B98E1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5130179"/>
    <w:multiLevelType w:val="hybridMultilevel"/>
    <w:tmpl w:val="6BCE2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C201E1"/>
    <w:multiLevelType w:val="hybridMultilevel"/>
    <w:tmpl w:val="AC8AA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83837E7"/>
    <w:multiLevelType w:val="hybridMultilevel"/>
    <w:tmpl w:val="AE187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8A75B0E"/>
    <w:multiLevelType w:val="hybridMultilevel"/>
    <w:tmpl w:val="DD720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C7E185C"/>
    <w:multiLevelType w:val="hybridMultilevel"/>
    <w:tmpl w:val="86E81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C8D6718"/>
    <w:multiLevelType w:val="hybridMultilevel"/>
    <w:tmpl w:val="9BB05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CDA72FC"/>
    <w:multiLevelType w:val="hybridMultilevel"/>
    <w:tmpl w:val="E6AE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E8A2CE9"/>
    <w:multiLevelType w:val="hybridMultilevel"/>
    <w:tmpl w:val="29BEC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EE53D61"/>
    <w:multiLevelType w:val="hybridMultilevel"/>
    <w:tmpl w:val="FE1E8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F4E7E3E"/>
    <w:multiLevelType w:val="hybridMultilevel"/>
    <w:tmpl w:val="A7108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F982013"/>
    <w:multiLevelType w:val="hybridMultilevel"/>
    <w:tmpl w:val="46AA7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0061CFD"/>
    <w:multiLevelType w:val="hybridMultilevel"/>
    <w:tmpl w:val="7AFEC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054506F"/>
    <w:multiLevelType w:val="hybridMultilevel"/>
    <w:tmpl w:val="ED1AB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3DF29BD"/>
    <w:multiLevelType w:val="hybridMultilevel"/>
    <w:tmpl w:val="FE26A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639646D"/>
    <w:multiLevelType w:val="hybridMultilevel"/>
    <w:tmpl w:val="D56AE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6C13BCE"/>
    <w:multiLevelType w:val="hybridMultilevel"/>
    <w:tmpl w:val="1FBE0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8264E94"/>
    <w:multiLevelType w:val="hybridMultilevel"/>
    <w:tmpl w:val="87344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8D215CE"/>
    <w:multiLevelType w:val="hybridMultilevel"/>
    <w:tmpl w:val="56E04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93678E3"/>
    <w:multiLevelType w:val="hybridMultilevel"/>
    <w:tmpl w:val="F5EE2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ACC5C42"/>
    <w:multiLevelType w:val="hybridMultilevel"/>
    <w:tmpl w:val="29284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AEF1AA9"/>
    <w:multiLevelType w:val="hybridMultilevel"/>
    <w:tmpl w:val="FB882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B090B28"/>
    <w:multiLevelType w:val="hybridMultilevel"/>
    <w:tmpl w:val="704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B8F213E"/>
    <w:multiLevelType w:val="hybridMultilevel"/>
    <w:tmpl w:val="E6C25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BA5732B"/>
    <w:multiLevelType w:val="hybridMultilevel"/>
    <w:tmpl w:val="39060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F9D2440"/>
    <w:multiLevelType w:val="hybridMultilevel"/>
    <w:tmpl w:val="A3986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FCF22EE"/>
    <w:multiLevelType w:val="hybridMultilevel"/>
    <w:tmpl w:val="7870C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1D138FC"/>
    <w:multiLevelType w:val="hybridMultilevel"/>
    <w:tmpl w:val="B9E65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23415BD"/>
    <w:multiLevelType w:val="hybridMultilevel"/>
    <w:tmpl w:val="6DD60650"/>
    <w:lvl w:ilvl="0" w:tplc="6A7C713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15:restartNumberingAfterBreak="0">
    <w:nsid w:val="438C13EB"/>
    <w:multiLevelType w:val="hybridMultilevel"/>
    <w:tmpl w:val="86BAF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4DD15E1"/>
    <w:multiLevelType w:val="hybridMultilevel"/>
    <w:tmpl w:val="404AE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5E119DE"/>
    <w:multiLevelType w:val="hybridMultilevel"/>
    <w:tmpl w:val="38628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8B50ECD"/>
    <w:multiLevelType w:val="hybridMultilevel"/>
    <w:tmpl w:val="F0687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A515731"/>
    <w:multiLevelType w:val="hybridMultilevel"/>
    <w:tmpl w:val="7AC07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AFA0AE6"/>
    <w:multiLevelType w:val="hybridMultilevel"/>
    <w:tmpl w:val="87C88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B415129"/>
    <w:multiLevelType w:val="hybridMultilevel"/>
    <w:tmpl w:val="CED6A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1DB0D58"/>
    <w:multiLevelType w:val="hybridMultilevel"/>
    <w:tmpl w:val="4CDCE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1E45450"/>
    <w:multiLevelType w:val="hybridMultilevel"/>
    <w:tmpl w:val="A9F23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262529D"/>
    <w:multiLevelType w:val="hybridMultilevel"/>
    <w:tmpl w:val="512A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27D5B73"/>
    <w:multiLevelType w:val="hybridMultilevel"/>
    <w:tmpl w:val="035E6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3047D9E"/>
    <w:multiLevelType w:val="hybridMultilevel"/>
    <w:tmpl w:val="F91EB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3B806E0"/>
    <w:multiLevelType w:val="hybridMultilevel"/>
    <w:tmpl w:val="EBAA7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404769B"/>
    <w:multiLevelType w:val="hybridMultilevel"/>
    <w:tmpl w:val="CBE82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4B85DDC"/>
    <w:multiLevelType w:val="hybridMultilevel"/>
    <w:tmpl w:val="F9EEC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71E6DC2"/>
    <w:multiLevelType w:val="hybridMultilevel"/>
    <w:tmpl w:val="EF8A0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8160EAD"/>
    <w:multiLevelType w:val="hybridMultilevel"/>
    <w:tmpl w:val="4FB08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9ED1CA0"/>
    <w:multiLevelType w:val="hybridMultilevel"/>
    <w:tmpl w:val="ADC02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AD8662B"/>
    <w:multiLevelType w:val="hybridMultilevel"/>
    <w:tmpl w:val="9D16E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AE122C5"/>
    <w:multiLevelType w:val="hybridMultilevel"/>
    <w:tmpl w:val="400EC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BA75F62"/>
    <w:multiLevelType w:val="hybridMultilevel"/>
    <w:tmpl w:val="1B8C4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DA55980"/>
    <w:multiLevelType w:val="hybridMultilevel"/>
    <w:tmpl w:val="96EC5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0666B76"/>
    <w:multiLevelType w:val="hybridMultilevel"/>
    <w:tmpl w:val="CB0E5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2E06865"/>
    <w:multiLevelType w:val="hybridMultilevel"/>
    <w:tmpl w:val="70946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33667C0"/>
    <w:multiLevelType w:val="hybridMultilevel"/>
    <w:tmpl w:val="FD66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33D6F51"/>
    <w:multiLevelType w:val="hybridMultilevel"/>
    <w:tmpl w:val="732A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45276B9"/>
    <w:multiLevelType w:val="hybridMultilevel"/>
    <w:tmpl w:val="CAA47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4B95B1E"/>
    <w:multiLevelType w:val="hybridMultilevel"/>
    <w:tmpl w:val="A456E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60640A6"/>
    <w:multiLevelType w:val="hybridMultilevel"/>
    <w:tmpl w:val="A1969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68E0FE6"/>
    <w:multiLevelType w:val="hybridMultilevel"/>
    <w:tmpl w:val="373ED0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67DA5A72"/>
    <w:multiLevelType w:val="hybridMultilevel"/>
    <w:tmpl w:val="26CA6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8293206"/>
    <w:multiLevelType w:val="hybridMultilevel"/>
    <w:tmpl w:val="9D462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9C44455"/>
    <w:multiLevelType w:val="hybridMultilevel"/>
    <w:tmpl w:val="7F7E9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A1449B0"/>
    <w:multiLevelType w:val="hybridMultilevel"/>
    <w:tmpl w:val="41ACC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A586F59"/>
    <w:multiLevelType w:val="hybridMultilevel"/>
    <w:tmpl w:val="FDA4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BB12A77"/>
    <w:multiLevelType w:val="hybridMultilevel"/>
    <w:tmpl w:val="A2066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DD83BBD"/>
    <w:multiLevelType w:val="hybridMultilevel"/>
    <w:tmpl w:val="2318C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E9B0B85"/>
    <w:multiLevelType w:val="hybridMultilevel"/>
    <w:tmpl w:val="328C9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FB41563"/>
    <w:multiLevelType w:val="hybridMultilevel"/>
    <w:tmpl w:val="4CCA7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0C57752"/>
    <w:multiLevelType w:val="hybridMultilevel"/>
    <w:tmpl w:val="A524E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12C76EF"/>
    <w:multiLevelType w:val="hybridMultilevel"/>
    <w:tmpl w:val="2AAC6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16D3EF6"/>
    <w:multiLevelType w:val="hybridMultilevel"/>
    <w:tmpl w:val="3CF25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2044ABB"/>
    <w:multiLevelType w:val="hybridMultilevel"/>
    <w:tmpl w:val="768C7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2457FD5"/>
    <w:multiLevelType w:val="hybridMultilevel"/>
    <w:tmpl w:val="A2D67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39A230A"/>
    <w:multiLevelType w:val="hybridMultilevel"/>
    <w:tmpl w:val="C938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55C0C8F"/>
    <w:multiLevelType w:val="hybridMultilevel"/>
    <w:tmpl w:val="E27A2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5E64487"/>
    <w:multiLevelType w:val="hybridMultilevel"/>
    <w:tmpl w:val="5674F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6B55A7A"/>
    <w:multiLevelType w:val="hybridMultilevel"/>
    <w:tmpl w:val="8D384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7747D67"/>
    <w:multiLevelType w:val="hybridMultilevel"/>
    <w:tmpl w:val="6BC84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86E7031"/>
    <w:multiLevelType w:val="hybridMultilevel"/>
    <w:tmpl w:val="99608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8A34DC5"/>
    <w:multiLevelType w:val="hybridMultilevel"/>
    <w:tmpl w:val="D36C5244"/>
    <w:lvl w:ilvl="0" w:tplc="6A7C713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2" w15:restartNumberingAfterBreak="0">
    <w:nsid w:val="7A17213C"/>
    <w:multiLevelType w:val="hybridMultilevel"/>
    <w:tmpl w:val="76F40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A991BA5"/>
    <w:multiLevelType w:val="hybridMultilevel"/>
    <w:tmpl w:val="82D6E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DC71BC8"/>
    <w:multiLevelType w:val="hybridMultilevel"/>
    <w:tmpl w:val="D5164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E0F504E"/>
    <w:multiLevelType w:val="hybridMultilevel"/>
    <w:tmpl w:val="0512C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6"/>
  </w:num>
  <w:num w:numId="2">
    <w:abstractNumId w:val="60"/>
  </w:num>
  <w:num w:numId="3">
    <w:abstractNumId w:val="16"/>
  </w:num>
  <w:num w:numId="4">
    <w:abstractNumId w:val="111"/>
  </w:num>
  <w:num w:numId="5">
    <w:abstractNumId w:val="53"/>
  </w:num>
  <w:num w:numId="6">
    <w:abstractNumId w:val="28"/>
  </w:num>
  <w:num w:numId="7">
    <w:abstractNumId w:val="11"/>
  </w:num>
  <w:num w:numId="8">
    <w:abstractNumId w:val="56"/>
  </w:num>
  <w:num w:numId="9">
    <w:abstractNumId w:val="4"/>
  </w:num>
  <w:num w:numId="10">
    <w:abstractNumId w:val="109"/>
  </w:num>
  <w:num w:numId="11">
    <w:abstractNumId w:val="41"/>
  </w:num>
  <w:num w:numId="12">
    <w:abstractNumId w:val="68"/>
  </w:num>
  <w:num w:numId="13">
    <w:abstractNumId w:val="85"/>
  </w:num>
  <w:num w:numId="14">
    <w:abstractNumId w:val="93"/>
  </w:num>
  <w:num w:numId="15">
    <w:abstractNumId w:val="107"/>
  </w:num>
  <w:num w:numId="16">
    <w:abstractNumId w:val="63"/>
  </w:num>
  <w:num w:numId="17">
    <w:abstractNumId w:val="30"/>
  </w:num>
  <w:num w:numId="18">
    <w:abstractNumId w:val="40"/>
  </w:num>
  <w:num w:numId="19">
    <w:abstractNumId w:val="15"/>
  </w:num>
  <w:num w:numId="20">
    <w:abstractNumId w:val="58"/>
  </w:num>
  <w:num w:numId="21">
    <w:abstractNumId w:val="39"/>
  </w:num>
  <w:num w:numId="22">
    <w:abstractNumId w:val="69"/>
  </w:num>
  <w:num w:numId="23">
    <w:abstractNumId w:val="100"/>
  </w:num>
  <w:num w:numId="24">
    <w:abstractNumId w:val="13"/>
  </w:num>
  <w:num w:numId="25">
    <w:abstractNumId w:val="18"/>
  </w:num>
  <w:num w:numId="26">
    <w:abstractNumId w:val="49"/>
  </w:num>
  <w:num w:numId="27">
    <w:abstractNumId w:val="96"/>
  </w:num>
  <w:num w:numId="28">
    <w:abstractNumId w:val="10"/>
  </w:num>
  <w:num w:numId="29">
    <w:abstractNumId w:val="77"/>
  </w:num>
  <w:num w:numId="30">
    <w:abstractNumId w:val="95"/>
  </w:num>
  <w:num w:numId="31">
    <w:abstractNumId w:val="70"/>
  </w:num>
  <w:num w:numId="32">
    <w:abstractNumId w:val="50"/>
  </w:num>
  <w:num w:numId="33">
    <w:abstractNumId w:val="99"/>
  </w:num>
  <w:num w:numId="34">
    <w:abstractNumId w:val="20"/>
  </w:num>
  <w:num w:numId="35">
    <w:abstractNumId w:val="91"/>
  </w:num>
  <w:num w:numId="36">
    <w:abstractNumId w:val="84"/>
  </w:num>
  <w:num w:numId="37">
    <w:abstractNumId w:val="76"/>
  </w:num>
  <w:num w:numId="38">
    <w:abstractNumId w:val="105"/>
  </w:num>
  <w:num w:numId="39">
    <w:abstractNumId w:val="81"/>
  </w:num>
  <w:num w:numId="40">
    <w:abstractNumId w:val="64"/>
  </w:num>
  <w:num w:numId="41">
    <w:abstractNumId w:val="2"/>
  </w:num>
  <w:num w:numId="42">
    <w:abstractNumId w:val="87"/>
  </w:num>
  <w:num w:numId="43">
    <w:abstractNumId w:val="103"/>
  </w:num>
  <w:num w:numId="44">
    <w:abstractNumId w:val="89"/>
  </w:num>
  <w:num w:numId="45">
    <w:abstractNumId w:val="110"/>
  </w:num>
  <w:num w:numId="46">
    <w:abstractNumId w:val="104"/>
  </w:num>
  <w:num w:numId="47">
    <w:abstractNumId w:val="12"/>
  </w:num>
  <w:num w:numId="48">
    <w:abstractNumId w:val="22"/>
  </w:num>
  <w:num w:numId="49">
    <w:abstractNumId w:val="75"/>
  </w:num>
  <w:num w:numId="50">
    <w:abstractNumId w:val="37"/>
  </w:num>
  <w:num w:numId="51">
    <w:abstractNumId w:val="98"/>
  </w:num>
  <w:num w:numId="52">
    <w:abstractNumId w:val="94"/>
  </w:num>
  <w:num w:numId="53">
    <w:abstractNumId w:val="102"/>
  </w:num>
  <w:num w:numId="54">
    <w:abstractNumId w:val="38"/>
  </w:num>
  <w:num w:numId="55">
    <w:abstractNumId w:val="36"/>
  </w:num>
  <w:num w:numId="56">
    <w:abstractNumId w:val="88"/>
  </w:num>
  <w:num w:numId="57">
    <w:abstractNumId w:val="82"/>
  </w:num>
  <w:num w:numId="58">
    <w:abstractNumId w:val="42"/>
  </w:num>
  <w:num w:numId="59">
    <w:abstractNumId w:val="33"/>
  </w:num>
  <w:num w:numId="60">
    <w:abstractNumId w:val="106"/>
  </w:num>
  <w:num w:numId="61">
    <w:abstractNumId w:val="83"/>
  </w:num>
  <w:num w:numId="62">
    <w:abstractNumId w:val="52"/>
  </w:num>
  <w:num w:numId="63">
    <w:abstractNumId w:val="14"/>
  </w:num>
  <w:num w:numId="64">
    <w:abstractNumId w:val="1"/>
  </w:num>
  <w:num w:numId="65">
    <w:abstractNumId w:val="108"/>
  </w:num>
  <w:num w:numId="66">
    <w:abstractNumId w:val="7"/>
  </w:num>
  <w:num w:numId="67">
    <w:abstractNumId w:val="55"/>
  </w:num>
  <w:num w:numId="68">
    <w:abstractNumId w:val="21"/>
  </w:num>
  <w:num w:numId="69">
    <w:abstractNumId w:val="0"/>
  </w:num>
  <w:num w:numId="70">
    <w:abstractNumId w:val="17"/>
  </w:num>
  <w:num w:numId="71">
    <w:abstractNumId w:val="51"/>
  </w:num>
  <w:num w:numId="72">
    <w:abstractNumId w:val="115"/>
  </w:num>
  <w:num w:numId="73">
    <w:abstractNumId w:val="5"/>
  </w:num>
  <w:num w:numId="74">
    <w:abstractNumId w:val="27"/>
  </w:num>
  <w:num w:numId="75">
    <w:abstractNumId w:val="34"/>
  </w:num>
  <w:num w:numId="76">
    <w:abstractNumId w:val="44"/>
  </w:num>
  <w:num w:numId="77">
    <w:abstractNumId w:val="73"/>
  </w:num>
  <w:num w:numId="78">
    <w:abstractNumId w:val="72"/>
  </w:num>
  <w:num w:numId="79">
    <w:abstractNumId w:val="66"/>
  </w:num>
  <w:num w:numId="80">
    <w:abstractNumId w:val="79"/>
  </w:num>
  <w:num w:numId="81">
    <w:abstractNumId w:val="54"/>
  </w:num>
  <w:num w:numId="82">
    <w:abstractNumId w:val="62"/>
  </w:num>
  <w:num w:numId="83">
    <w:abstractNumId w:val="86"/>
  </w:num>
  <w:num w:numId="84">
    <w:abstractNumId w:val="78"/>
  </w:num>
  <w:num w:numId="85">
    <w:abstractNumId w:val="23"/>
  </w:num>
  <w:num w:numId="86">
    <w:abstractNumId w:val="24"/>
  </w:num>
  <w:num w:numId="87">
    <w:abstractNumId w:val="80"/>
  </w:num>
  <w:num w:numId="88">
    <w:abstractNumId w:val="43"/>
  </w:num>
  <w:num w:numId="89">
    <w:abstractNumId w:val="29"/>
  </w:num>
  <w:num w:numId="90">
    <w:abstractNumId w:val="8"/>
  </w:num>
  <w:num w:numId="91">
    <w:abstractNumId w:val="59"/>
  </w:num>
  <w:num w:numId="92">
    <w:abstractNumId w:val="97"/>
  </w:num>
  <w:num w:numId="93">
    <w:abstractNumId w:val="47"/>
  </w:num>
  <w:num w:numId="94">
    <w:abstractNumId w:val="65"/>
  </w:num>
  <w:num w:numId="95">
    <w:abstractNumId w:val="113"/>
  </w:num>
  <w:num w:numId="96">
    <w:abstractNumId w:val="74"/>
  </w:num>
  <w:num w:numId="97">
    <w:abstractNumId w:val="35"/>
  </w:num>
  <w:num w:numId="98">
    <w:abstractNumId w:val="112"/>
  </w:num>
  <w:num w:numId="99">
    <w:abstractNumId w:val="19"/>
  </w:num>
  <w:num w:numId="100">
    <w:abstractNumId w:val="9"/>
  </w:num>
  <w:num w:numId="101">
    <w:abstractNumId w:val="26"/>
  </w:num>
  <w:num w:numId="102">
    <w:abstractNumId w:val="45"/>
  </w:num>
  <w:num w:numId="103">
    <w:abstractNumId w:val="32"/>
  </w:num>
  <w:num w:numId="104">
    <w:abstractNumId w:val="92"/>
  </w:num>
  <w:num w:numId="105">
    <w:abstractNumId w:val="61"/>
  </w:num>
  <w:num w:numId="106">
    <w:abstractNumId w:val="67"/>
  </w:num>
  <w:num w:numId="107">
    <w:abstractNumId w:val="101"/>
  </w:num>
  <w:num w:numId="108">
    <w:abstractNumId w:val="6"/>
  </w:num>
  <w:num w:numId="109">
    <w:abstractNumId w:val="90"/>
  </w:num>
  <w:num w:numId="110">
    <w:abstractNumId w:val="31"/>
  </w:num>
  <w:num w:numId="111">
    <w:abstractNumId w:val="25"/>
  </w:num>
  <w:num w:numId="112">
    <w:abstractNumId w:val="71"/>
  </w:num>
  <w:num w:numId="113">
    <w:abstractNumId w:val="114"/>
  </w:num>
  <w:num w:numId="114">
    <w:abstractNumId w:val="48"/>
  </w:num>
  <w:num w:numId="115">
    <w:abstractNumId w:val="3"/>
  </w:num>
  <w:num w:numId="116">
    <w:abstractNumId w:val="5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07a744c6-a7f9-414a-9a45-296fa28bbbb0"/>
  </w:docVars>
  <w:rsids>
    <w:rsidRoot w:val="007219F1"/>
    <w:rsid w:val="000016B8"/>
    <w:rsid w:val="00002864"/>
    <w:rsid w:val="00004929"/>
    <w:rsid w:val="00004E72"/>
    <w:rsid w:val="00006428"/>
    <w:rsid w:val="0000661E"/>
    <w:rsid w:val="00006E88"/>
    <w:rsid w:val="000074C9"/>
    <w:rsid w:val="000074DA"/>
    <w:rsid w:val="000102B7"/>
    <w:rsid w:val="0001289A"/>
    <w:rsid w:val="000129EF"/>
    <w:rsid w:val="00012BAB"/>
    <w:rsid w:val="00012C9A"/>
    <w:rsid w:val="000132C9"/>
    <w:rsid w:val="00013EBB"/>
    <w:rsid w:val="0001446D"/>
    <w:rsid w:val="00014AAA"/>
    <w:rsid w:val="00014CA1"/>
    <w:rsid w:val="000166CA"/>
    <w:rsid w:val="00017EAA"/>
    <w:rsid w:val="00017F26"/>
    <w:rsid w:val="00020B2E"/>
    <w:rsid w:val="00024DF9"/>
    <w:rsid w:val="00024EA7"/>
    <w:rsid w:val="00025408"/>
    <w:rsid w:val="00025BD1"/>
    <w:rsid w:val="000268CE"/>
    <w:rsid w:val="000312ED"/>
    <w:rsid w:val="0003139D"/>
    <w:rsid w:val="00031771"/>
    <w:rsid w:val="00031871"/>
    <w:rsid w:val="00032548"/>
    <w:rsid w:val="0003639F"/>
    <w:rsid w:val="0003688A"/>
    <w:rsid w:val="00036994"/>
    <w:rsid w:val="00037405"/>
    <w:rsid w:val="0003755D"/>
    <w:rsid w:val="000405AB"/>
    <w:rsid w:val="00040C69"/>
    <w:rsid w:val="000412E5"/>
    <w:rsid w:val="00041E26"/>
    <w:rsid w:val="00041F84"/>
    <w:rsid w:val="000420BC"/>
    <w:rsid w:val="00042AD1"/>
    <w:rsid w:val="0004529D"/>
    <w:rsid w:val="0004587A"/>
    <w:rsid w:val="00045A7C"/>
    <w:rsid w:val="000468FA"/>
    <w:rsid w:val="000469EA"/>
    <w:rsid w:val="000604CB"/>
    <w:rsid w:val="00060BC5"/>
    <w:rsid w:val="00060BF7"/>
    <w:rsid w:val="00061FB1"/>
    <w:rsid w:val="00062C78"/>
    <w:rsid w:val="000634DB"/>
    <w:rsid w:val="00063D46"/>
    <w:rsid w:val="0006485B"/>
    <w:rsid w:val="000659FA"/>
    <w:rsid w:val="000716BA"/>
    <w:rsid w:val="00072B6C"/>
    <w:rsid w:val="00073196"/>
    <w:rsid w:val="000753BF"/>
    <w:rsid w:val="000755F7"/>
    <w:rsid w:val="00077A99"/>
    <w:rsid w:val="0008083B"/>
    <w:rsid w:val="0008298A"/>
    <w:rsid w:val="0008362E"/>
    <w:rsid w:val="0008407F"/>
    <w:rsid w:val="00084840"/>
    <w:rsid w:val="00085A4A"/>
    <w:rsid w:val="000860A2"/>
    <w:rsid w:val="00086362"/>
    <w:rsid w:val="0008654A"/>
    <w:rsid w:val="000868D2"/>
    <w:rsid w:val="00086EAE"/>
    <w:rsid w:val="00087A47"/>
    <w:rsid w:val="00090079"/>
    <w:rsid w:val="000904CA"/>
    <w:rsid w:val="00091032"/>
    <w:rsid w:val="000911AB"/>
    <w:rsid w:val="000934F4"/>
    <w:rsid w:val="00095BF2"/>
    <w:rsid w:val="000968EF"/>
    <w:rsid w:val="000A043B"/>
    <w:rsid w:val="000A0F71"/>
    <w:rsid w:val="000A178E"/>
    <w:rsid w:val="000A27BF"/>
    <w:rsid w:val="000A2B0F"/>
    <w:rsid w:val="000A2CA9"/>
    <w:rsid w:val="000A3F9B"/>
    <w:rsid w:val="000A5203"/>
    <w:rsid w:val="000A57D4"/>
    <w:rsid w:val="000B0A74"/>
    <w:rsid w:val="000B1117"/>
    <w:rsid w:val="000B1144"/>
    <w:rsid w:val="000B17C5"/>
    <w:rsid w:val="000B2814"/>
    <w:rsid w:val="000B472F"/>
    <w:rsid w:val="000B5D8F"/>
    <w:rsid w:val="000B6B8D"/>
    <w:rsid w:val="000C095B"/>
    <w:rsid w:val="000C0C7D"/>
    <w:rsid w:val="000C20DE"/>
    <w:rsid w:val="000C2D7D"/>
    <w:rsid w:val="000C381C"/>
    <w:rsid w:val="000C3BEF"/>
    <w:rsid w:val="000C5826"/>
    <w:rsid w:val="000C5B16"/>
    <w:rsid w:val="000C6D3C"/>
    <w:rsid w:val="000C75A0"/>
    <w:rsid w:val="000D3130"/>
    <w:rsid w:val="000D3724"/>
    <w:rsid w:val="000D5290"/>
    <w:rsid w:val="000D77F0"/>
    <w:rsid w:val="000E0312"/>
    <w:rsid w:val="000E1A3C"/>
    <w:rsid w:val="000E1BB0"/>
    <w:rsid w:val="000E29D5"/>
    <w:rsid w:val="000E3B32"/>
    <w:rsid w:val="000E4578"/>
    <w:rsid w:val="000E4C61"/>
    <w:rsid w:val="000E6555"/>
    <w:rsid w:val="000F0AC9"/>
    <w:rsid w:val="000F0AF2"/>
    <w:rsid w:val="000F0BD9"/>
    <w:rsid w:val="000F1742"/>
    <w:rsid w:val="000F2189"/>
    <w:rsid w:val="000F469B"/>
    <w:rsid w:val="000F4A69"/>
    <w:rsid w:val="000F54B9"/>
    <w:rsid w:val="000F5559"/>
    <w:rsid w:val="00100F2C"/>
    <w:rsid w:val="00101BEF"/>
    <w:rsid w:val="00102C5A"/>
    <w:rsid w:val="00103ADA"/>
    <w:rsid w:val="001060BA"/>
    <w:rsid w:val="00106124"/>
    <w:rsid w:val="001109BD"/>
    <w:rsid w:val="0011108F"/>
    <w:rsid w:val="001110DD"/>
    <w:rsid w:val="0011115B"/>
    <w:rsid w:val="0011171A"/>
    <w:rsid w:val="00112CD6"/>
    <w:rsid w:val="00114B4A"/>
    <w:rsid w:val="00115EE6"/>
    <w:rsid w:val="0012175B"/>
    <w:rsid w:val="00122E25"/>
    <w:rsid w:val="00123CD2"/>
    <w:rsid w:val="00124EDB"/>
    <w:rsid w:val="001257FA"/>
    <w:rsid w:val="001262CA"/>
    <w:rsid w:val="00131A23"/>
    <w:rsid w:val="00131CB5"/>
    <w:rsid w:val="00132613"/>
    <w:rsid w:val="00132A0F"/>
    <w:rsid w:val="00134A16"/>
    <w:rsid w:val="001359D9"/>
    <w:rsid w:val="001360E3"/>
    <w:rsid w:val="001369F0"/>
    <w:rsid w:val="0013740B"/>
    <w:rsid w:val="0013769E"/>
    <w:rsid w:val="00137854"/>
    <w:rsid w:val="00143395"/>
    <w:rsid w:val="00143D5F"/>
    <w:rsid w:val="001445FD"/>
    <w:rsid w:val="0014523B"/>
    <w:rsid w:val="0014681C"/>
    <w:rsid w:val="00147AD3"/>
    <w:rsid w:val="00147BB2"/>
    <w:rsid w:val="00152722"/>
    <w:rsid w:val="001528CC"/>
    <w:rsid w:val="00152A0C"/>
    <w:rsid w:val="00152F0C"/>
    <w:rsid w:val="0015305C"/>
    <w:rsid w:val="001537AE"/>
    <w:rsid w:val="0015434D"/>
    <w:rsid w:val="001546EC"/>
    <w:rsid w:val="0015654E"/>
    <w:rsid w:val="00156A66"/>
    <w:rsid w:val="00157648"/>
    <w:rsid w:val="00160204"/>
    <w:rsid w:val="00160EA0"/>
    <w:rsid w:val="00160F15"/>
    <w:rsid w:val="00163449"/>
    <w:rsid w:val="00164365"/>
    <w:rsid w:val="00164761"/>
    <w:rsid w:val="0016575A"/>
    <w:rsid w:val="00166804"/>
    <w:rsid w:val="00166909"/>
    <w:rsid w:val="00166EC4"/>
    <w:rsid w:val="00166F92"/>
    <w:rsid w:val="001672C5"/>
    <w:rsid w:val="001673B4"/>
    <w:rsid w:val="00167E7E"/>
    <w:rsid w:val="001723F0"/>
    <w:rsid w:val="00172595"/>
    <w:rsid w:val="00173C38"/>
    <w:rsid w:val="00173FAF"/>
    <w:rsid w:val="0017407E"/>
    <w:rsid w:val="0017438E"/>
    <w:rsid w:val="00175D6E"/>
    <w:rsid w:val="001766C8"/>
    <w:rsid w:val="001813E4"/>
    <w:rsid w:val="00181725"/>
    <w:rsid w:val="00181C7E"/>
    <w:rsid w:val="00184632"/>
    <w:rsid w:val="00184C91"/>
    <w:rsid w:val="00185075"/>
    <w:rsid w:val="0018547D"/>
    <w:rsid w:val="00185E90"/>
    <w:rsid w:val="001874DE"/>
    <w:rsid w:val="00190A5B"/>
    <w:rsid w:val="00190CA6"/>
    <w:rsid w:val="00191073"/>
    <w:rsid w:val="00191776"/>
    <w:rsid w:val="001922A6"/>
    <w:rsid w:val="001924F6"/>
    <w:rsid w:val="001930ED"/>
    <w:rsid w:val="00193691"/>
    <w:rsid w:val="00193698"/>
    <w:rsid w:val="00193E03"/>
    <w:rsid w:val="001944FD"/>
    <w:rsid w:val="00194B8A"/>
    <w:rsid w:val="001954FA"/>
    <w:rsid w:val="00195731"/>
    <w:rsid w:val="00196994"/>
    <w:rsid w:val="00196C2E"/>
    <w:rsid w:val="001A0920"/>
    <w:rsid w:val="001A1144"/>
    <w:rsid w:val="001A2991"/>
    <w:rsid w:val="001A32F7"/>
    <w:rsid w:val="001A3664"/>
    <w:rsid w:val="001A3DAF"/>
    <w:rsid w:val="001A4039"/>
    <w:rsid w:val="001A4695"/>
    <w:rsid w:val="001A49E1"/>
    <w:rsid w:val="001A5392"/>
    <w:rsid w:val="001A56E9"/>
    <w:rsid w:val="001A67F0"/>
    <w:rsid w:val="001A74B7"/>
    <w:rsid w:val="001B0948"/>
    <w:rsid w:val="001B10C1"/>
    <w:rsid w:val="001B1454"/>
    <w:rsid w:val="001B2B48"/>
    <w:rsid w:val="001B3844"/>
    <w:rsid w:val="001B3FAD"/>
    <w:rsid w:val="001B651E"/>
    <w:rsid w:val="001C151E"/>
    <w:rsid w:val="001C3E69"/>
    <w:rsid w:val="001C5BBE"/>
    <w:rsid w:val="001C5E93"/>
    <w:rsid w:val="001C5EE7"/>
    <w:rsid w:val="001C6748"/>
    <w:rsid w:val="001C68EC"/>
    <w:rsid w:val="001C7B03"/>
    <w:rsid w:val="001C7D55"/>
    <w:rsid w:val="001D0487"/>
    <w:rsid w:val="001D2980"/>
    <w:rsid w:val="001D3283"/>
    <w:rsid w:val="001D369C"/>
    <w:rsid w:val="001D3EC7"/>
    <w:rsid w:val="001D4BCB"/>
    <w:rsid w:val="001D5688"/>
    <w:rsid w:val="001E0559"/>
    <w:rsid w:val="001E17F6"/>
    <w:rsid w:val="001E1A29"/>
    <w:rsid w:val="001E21F2"/>
    <w:rsid w:val="001E3FAF"/>
    <w:rsid w:val="001E4FBE"/>
    <w:rsid w:val="001E52C8"/>
    <w:rsid w:val="001E5E86"/>
    <w:rsid w:val="001E630D"/>
    <w:rsid w:val="001E6CCB"/>
    <w:rsid w:val="001E6E69"/>
    <w:rsid w:val="001E7DFA"/>
    <w:rsid w:val="001F0AD5"/>
    <w:rsid w:val="001F2DB7"/>
    <w:rsid w:val="001F2F1F"/>
    <w:rsid w:val="001F39D2"/>
    <w:rsid w:val="001F4503"/>
    <w:rsid w:val="001F49FD"/>
    <w:rsid w:val="001F6CBD"/>
    <w:rsid w:val="001F7AD8"/>
    <w:rsid w:val="00200009"/>
    <w:rsid w:val="002000E3"/>
    <w:rsid w:val="00200490"/>
    <w:rsid w:val="00200883"/>
    <w:rsid w:val="002025E2"/>
    <w:rsid w:val="00202DF6"/>
    <w:rsid w:val="00203052"/>
    <w:rsid w:val="002033D1"/>
    <w:rsid w:val="00203A94"/>
    <w:rsid w:val="00203CD1"/>
    <w:rsid w:val="002042B7"/>
    <w:rsid w:val="00204CA4"/>
    <w:rsid w:val="00204EC3"/>
    <w:rsid w:val="0020580E"/>
    <w:rsid w:val="00205ED4"/>
    <w:rsid w:val="00206415"/>
    <w:rsid w:val="00206A12"/>
    <w:rsid w:val="002074B7"/>
    <w:rsid w:val="002075FC"/>
    <w:rsid w:val="00207E61"/>
    <w:rsid w:val="0021192B"/>
    <w:rsid w:val="002129D5"/>
    <w:rsid w:val="002144BC"/>
    <w:rsid w:val="0021480A"/>
    <w:rsid w:val="0021493C"/>
    <w:rsid w:val="002153C4"/>
    <w:rsid w:val="00215465"/>
    <w:rsid w:val="0021623B"/>
    <w:rsid w:val="0021700B"/>
    <w:rsid w:val="00217E0A"/>
    <w:rsid w:val="0022091A"/>
    <w:rsid w:val="00221662"/>
    <w:rsid w:val="00221FC5"/>
    <w:rsid w:val="002221A0"/>
    <w:rsid w:val="00222612"/>
    <w:rsid w:val="00222FEC"/>
    <w:rsid w:val="0022379B"/>
    <w:rsid w:val="00224673"/>
    <w:rsid w:val="00226821"/>
    <w:rsid w:val="002307B8"/>
    <w:rsid w:val="00230A85"/>
    <w:rsid w:val="00233694"/>
    <w:rsid w:val="0023491D"/>
    <w:rsid w:val="00234DA1"/>
    <w:rsid w:val="00235232"/>
    <w:rsid w:val="00235D1E"/>
    <w:rsid w:val="00236098"/>
    <w:rsid w:val="00237163"/>
    <w:rsid w:val="00237879"/>
    <w:rsid w:val="0024025D"/>
    <w:rsid w:val="002404F6"/>
    <w:rsid w:val="00240D5A"/>
    <w:rsid w:val="002410DB"/>
    <w:rsid w:val="00242B5B"/>
    <w:rsid w:val="00242BD2"/>
    <w:rsid w:val="00243AB8"/>
    <w:rsid w:val="00243B0A"/>
    <w:rsid w:val="002448C0"/>
    <w:rsid w:val="002451E2"/>
    <w:rsid w:val="0024524C"/>
    <w:rsid w:val="0024639D"/>
    <w:rsid w:val="00246CDA"/>
    <w:rsid w:val="00247AD7"/>
    <w:rsid w:val="00250CD7"/>
    <w:rsid w:val="00251661"/>
    <w:rsid w:val="00253540"/>
    <w:rsid w:val="002537EC"/>
    <w:rsid w:val="00253B28"/>
    <w:rsid w:val="00254B6E"/>
    <w:rsid w:val="00254BAA"/>
    <w:rsid w:val="00255F1C"/>
    <w:rsid w:val="0025667E"/>
    <w:rsid w:val="0025674A"/>
    <w:rsid w:val="00257EEE"/>
    <w:rsid w:val="00262C9E"/>
    <w:rsid w:val="0026479C"/>
    <w:rsid w:val="00264BF3"/>
    <w:rsid w:val="0026533F"/>
    <w:rsid w:val="00265347"/>
    <w:rsid w:val="0026670A"/>
    <w:rsid w:val="00266726"/>
    <w:rsid w:val="002669D2"/>
    <w:rsid w:val="00267AAD"/>
    <w:rsid w:val="00272804"/>
    <w:rsid w:val="00272C10"/>
    <w:rsid w:val="00272CE2"/>
    <w:rsid w:val="0027361B"/>
    <w:rsid w:val="0027405B"/>
    <w:rsid w:val="002744AA"/>
    <w:rsid w:val="00275B96"/>
    <w:rsid w:val="00276D1E"/>
    <w:rsid w:val="002805FD"/>
    <w:rsid w:val="002819A6"/>
    <w:rsid w:val="002821A0"/>
    <w:rsid w:val="00282D85"/>
    <w:rsid w:val="00283F4B"/>
    <w:rsid w:val="00285559"/>
    <w:rsid w:val="00286BA1"/>
    <w:rsid w:val="00286C8F"/>
    <w:rsid w:val="00290D51"/>
    <w:rsid w:val="00291309"/>
    <w:rsid w:val="00291E4C"/>
    <w:rsid w:val="00293ACD"/>
    <w:rsid w:val="00293B55"/>
    <w:rsid w:val="00293D1E"/>
    <w:rsid w:val="00294946"/>
    <w:rsid w:val="00294E77"/>
    <w:rsid w:val="00295261"/>
    <w:rsid w:val="0029569C"/>
    <w:rsid w:val="0029748A"/>
    <w:rsid w:val="00297979"/>
    <w:rsid w:val="002A0264"/>
    <w:rsid w:val="002A0347"/>
    <w:rsid w:val="002A044E"/>
    <w:rsid w:val="002A056C"/>
    <w:rsid w:val="002A07BF"/>
    <w:rsid w:val="002A0B07"/>
    <w:rsid w:val="002A121B"/>
    <w:rsid w:val="002A2D5E"/>
    <w:rsid w:val="002A3144"/>
    <w:rsid w:val="002A3D66"/>
    <w:rsid w:val="002A4E72"/>
    <w:rsid w:val="002A4F51"/>
    <w:rsid w:val="002A61DF"/>
    <w:rsid w:val="002A6A13"/>
    <w:rsid w:val="002A718B"/>
    <w:rsid w:val="002A725E"/>
    <w:rsid w:val="002A7562"/>
    <w:rsid w:val="002A79EF"/>
    <w:rsid w:val="002A7C37"/>
    <w:rsid w:val="002B09AB"/>
    <w:rsid w:val="002B15B1"/>
    <w:rsid w:val="002B4085"/>
    <w:rsid w:val="002B4B13"/>
    <w:rsid w:val="002B4D98"/>
    <w:rsid w:val="002B5076"/>
    <w:rsid w:val="002B59AB"/>
    <w:rsid w:val="002C1644"/>
    <w:rsid w:val="002C1ED0"/>
    <w:rsid w:val="002C344E"/>
    <w:rsid w:val="002C46A0"/>
    <w:rsid w:val="002C4BDD"/>
    <w:rsid w:val="002C5D3A"/>
    <w:rsid w:val="002D097D"/>
    <w:rsid w:val="002D2D22"/>
    <w:rsid w:val="002D2EEA"/>
    <w:rsid w:val="002D35F5"/>
    <w:rsid w:val="002D49DC"/>
    <w:rsid w:val="002D4F80"/>
    <w:rsid w:val="002D54E0"/>
    <w:rsid w:val="002D7401"/>
    <w:rsid w:val="002D7DBC"/>
    <w:rsid w:val="002E0224"/>
    <w:rsid w:val="002E08DD"/>
    <w:rsid w:val="002E255B"/>
    <w:rsid w:val="002E323A"/>
    <w:rsid w:val="002E481C"/>
    <w:rsid w:val="002E5AC5"/>
    <w:rsid w:val="002E6832"/>
    <w:rsid w:val="002F023A"/>
    <w:rsid w:val="002F065F"/>
    <w:rsid w:val="002F5769"/>
    <w:rsid w:val="002F5A4D"/>
    <w:rsid w:val="00300469"/>
    <w:rsid w:val="00300903"/>
    <w:rsid w:val="003023B1"/>
    <w:rsid w:val="00302A12"/>
    <w:rsid w:val="003033F1"/>
    <w:rsid w:val="00304B5A"/>
    <w:rsid w:val="00304C20"/>
    <w:rsid w:val="00305134"/>
    <w:rsid w:val="00305B20"/>
    <w:rsid w:val="003078FF"/>
    <w:rsid w:val="00307948"/>
    <w:rsid w:val="00310861"/>
    <w:rsid w:val="003108B9"/>
    <w:rsid w:val="00311C3F"/>
    <w:rsid w:val="00312CD2"/>
    <w:rsid w:val="00314519"/>
    <w:rsid w:val="0031488E"/>
    <w:rsid w:val="00314C3C"/>
    <w:rsid w:val="003158E7"/>
    <w:rsid w:val="00316D67"/>
    <w:rsid w:val="00317601"/>
    <w:rsid w:val="003176BB"/>
    <w:rsid w:val="00317DD7"/>
    <w:rsid w:val="00322204"/>
    <w:rsid w:val="0032261E"/>
    <w:rsid w:val="00322846"/>
    <w:rsid w:val="00323BB7"/>
    <w:rsid w:val="003243F6"/>
    <w:rsid w:val="00325ABE"/>
    <w:rsid w:val="00326217"/>
    <w:rsid w:val="0032727F"/>
    <w:rsid w:val="003279E9"/>
    <w:rsid w:val="00327B38"/>
    <w:rsid w:val="0033081A"/>
    <w:rsid w:val="00330F89"/>
    <w:rsid w:val="003328F8"/>
    <w:rsid w:val="00333471"/>
    <w:rsid w:val="0033350A"/>
    <w:rsid w:val="00334027"/>
    <w:rsid w:val="00334CD8"/>
    <w:rsid w:val="00335951"/>
    <w:rsid w:val="00335A61"/>
    <w:rsid w:val="003366FA"/>
    <w:rsid w:val="00336946"/>
    <w:rsid w:val="00336A0A"/>
    <w:rsid w:val="003405E1"/>
    <w:rsid w:val="00343046"/>
    <w:rsid w:val="00343419"/>
    <w:rsid w:val="00344CB7"/>
    <w:rsid w:val="00345535"/>
    <w:rsid w:val="003461CD"/>
    <w:rsid w:val="0034722A"/>
    <w:rsid w:val="0035001E"/>
    <w:rsid w:val="00350990"/>
    <w:rsid w:val="00350C07"/>
    <w:rsid w:val="00350CBF"/>
    <w:rsid w:val="00351860"/>
    <w:rsid w:val="00353FA6"/>
    <w:rsid w:val="00354A29"/>
    <w:rsid w:val="00355090"/>
    <w:rsid w:val="003554B9"/>
    <w:rsid w:val="00357FC2"/>
    <w:rsid w:val="00360402"/>
    <w:rsid w:val="00361A25"/>
    <w:rsid w:val="00361BDF"/>
    <w:rsid w:val="00363B63"/>
    <w:rsid w:val="0036451C"/>
    <w:rsid w:val="003646B3"/>
    <w:rsid w:val="0036495A"/>
    <w:rsid w:val="003649C9"/>
    <w:rsid w:val="00365035"/>
    <w:rsid w:val="00367546"/>
    <w:rsid w:val="00367B45"/>
    <w:rsid w:val="003707E5"/>
    <w:rsid w:val="0037146D"/>
    <w:rsid w:val="00371ABC"/>
    <w:rsid w:val="003726B0"/>
    <w:rsid w:val="00372939"/>
    <w:rsid w:val="00373586"/>
    <w:rsid w:val="00373853"/>
    <w:rsid w:val="00373A7F"/>
    <w:rsid w:val="00373C12"/>
    <w:rsid w:val="00374A90"/>
    <w:rsid w:val="003754CC"/>
    <w:rsid w:val="0037675B"/>
    <w:rsid w:val="0037717D"/>
    <w:rsid w:val="0037726E"/>
    <w:rsid w:val="00380C0B"/>
    <w:rsid w:val="00381DAF"/>
    <w:rsid w:val="00382CAF"/>
    <w:rsid w:val="0038302C"/>
    <w:rsid w:val="0038375B"/>
    <w:rsid w:val="00383C5A"/>
    <w:rsid w:val="0038419B"/>
    <w:rsid w:val="00385340"/>
    <w:rsid w:val="0038698C"/>
    <w:rsid w:val="003874A2"/>
    <w:rsid w:val="0039010F"/>
    <w:rsid w:val="00390158"/>
    <w:rsid w:val="0039453E"/>
    <w:rsid w:val="00395E68"/>
    <w:rsid w:val="003A0318"/>
    <w:rsid w:val="003A0B65"/>
    <w:rsid w:val="003A0D20"/>
    <w:rsid w:val="003A2482"/>
    <w:rsid w:val="003A299D"/>
    <w:rsid w:val="003A3238"/>
    <w:rsid w:val="003A3F9B"/>
    <w:rsid w:val="003A44A6"/>
    <w:rsid w:val="003A5574"/>
    <w:rsid w:val="003A5A9C"/>
    <w:rsid w:val="003A5B21"/>
    <w:rsid w:val="003A6033"/>
    <w:rsid w:val="003A6374"/>
    <w:rsid w:val="003A761D"/>
    <w:rsid w:val="003A79EC"/>
    <w:rsid w:val="003A7B16"/>
    <w:rsid w:val="003A7C53"/>
    <w:rsid w:val="003B0E35"/>
    <w:rsid w:val="003B0FD3"/>
    <w:rsid w:val="003B1ABE"/>
    <w:rsid w:val="003B2A97"/>
    <w:rsid w:val="003B2BB8"/>
    <w:rsid w:val="003B3FA1"/>
    <w:rsid w:val="003B58D9"/>
    <w:rsid w:val="003B59EE"/>
    <w:rsid w:val="003B5BEF"/>
    <w:rsid w:val="003B5DC3"/>
    <w:rsid w:val="003B5EE9"/>
    <w:rsid w:val="003B7109"/>
    <w:rsid w:val="003C081A"/>
    <w:rsid w:val="003C129B"/>
    <w:rsid w:val="003C1CA6"/>
    <w:rsid w:val="003C1F72"/>
    <w:rsid w:val="003C22EE"/>
    <w:rsid w:val="003C26CB"/>
    <w:rsid w:val="003C2EB4"/>
    <w:rsid w:val="003C4A22"/>
    <w:rsid w:val="003C5136"/>
    <w:rsid w:val="003C5C2F"/>
    <w:rsid w:val="003C6017"/>
    <w:rsid w:val="003C6123"/>
    <w:rsid w:val="003D066C"/>
    <w:rsid w:val="003D0D0C"/>
    <w:rsid w:val="003D0E58"/>
    <w:rsid w:val="003D1690"/>
    <w:rsid w:val="003D34FF"/>
    <w:rsid w:val="003D351F"/>
    <w:rsid w:val="003D5067"/>
    <w:rsid w:val="003D551D"/>
    <w:rsid w:val="003D564F"/>
    <w:rsid w:val="003D5689"/>
    <w:rsid w:val="003D593D"/>
    <w:rsid w:val="003D787E"/>
    <w:rsid w:val="003D7F70"/>
    <w:rsid w:val="003E0E8F"/>
    <w:rsid w:val="003E16EC"/>
    <w:rsid w:val="003E1779"/>
    <w:rsid w:val="003E17B6"/>
    <w:rsid w:val="003E18C0"/>
    <w:rsid w:val="003E18F0"/>
    <w:rsid w:val="003E2FB0"/>
    <w:rsid w:val="003E3594"/>
    <w:rsid w:val="003E436C"/>
    <w:rsid w:val="003E6AC1"/>
    <w:rsid w:val="003F113B"/>
    <w:rsid w:val="003F1805"/>
    <w:rsid w:val="003F2102"/>
    <w:rsid w:val="003F3495"/>
    <w:rsid w:val="003F4B5B"/>
    <w:rsid w:val="003F4FAC"/>
    <w:rsid w:val="003F614F"/>
    <w:rsid w:val="003F7BCE"/>
    <w:rsid w:val="0040062A"/>
    <w:rsid w:val="00401C4E"/>
    <w:rsid w:val="0040200E"/>
    <w:rsid w:val="004024D0"/>
    <w:rsid w:val="00403D5D"/>
    <w:rsid w:val="00404345"/>
    <w:rsid w:val="004045DB"/>
    <w:rsid w:val="00404F92"/>
    <w:rsid w:val="004060F8"/>
    <w:rsid w:val="004064CE"/>
    <w:rsid w:val="00407B2D"/>
    <w:rsid w:val="004100CE"/>
    <w:rsid w:val="00410810"/>
    <w:rsid w:val="00410D10"/>
    <w:rsid w:val="00411206"/>
    <w:rsid w:val="004115EB"/>
    <w:rsid w:val="0041248A"/>
    <w:rsid w:val="00413371"/>
    <w:rsid w:val="004133A3"/>
    <w:rsid w:val="00414CE2"/>
    <w:rsid w:val="00415141"/>
    <w:rsid w:val="004171D4"/>
    <w:rsid w:val="00417683"/>
    <w:rsid w:val="004176AA"/>
    <w:rsid w:val="00417813"/>
    <w:rsid w:val="00420871"/>
    <w:rsid w:val="00420D21"/>
    <w:rsid w:val="0042108C"/>
    <w:rsid w:val="00422719"/>
    <w:rsid w:val="00422973"/>
    <w:rsid w:val="0042387D"/>
    <w:rsid w:val="00423F72"/>
    <w:rsid w:val="00424B6E"/>
    <w:rsid w:val="00426A28"/>
    <w:rsid w:val="00426D4C"/>
    <w:rsid w:val="00427608"/>
    <w:rsid w:val="00427D92"/>
    <w:rsid w:val="0043052D"/>
    <w:rsid w:val="004305E3"/>
    <w:rsid w:val="004316E3"/>
    <w:rsid w:val="00431F73"/>
    <w:rsid w:val="00433319"/>
    <w:rsid w:val="00435307"/>
    <w:rsid w:val="004367CF"/>
    <w:rsid w:val="00436904"/>
    <w:rsid w:val="00440242"/>
    <w:rsid w:val="00440543"/>
    <w:rsid w:val="00440996"/>
    <w:rsid w:val="004412BF"/>
    <w:rsid w:val="00441470"/>
    <w:rsid w:val="004414AC"/>
    <w:rsid w:val="004416CB"/>
    <w:rsid w:val="00441762"/>
    <w:rsid w:val="00441C6F"/>
    <w:rsid w:val="0044206B"/>
    <w:rsid w:val="00442985"/>
    <w:rsid w:val="00443099"/>
    <w:rsid w:val="0044369D"/>
    <w:rsid w:val="0044412E"/>
    <w:rsid w:val="004455D4"/>
    <w:rsid w:val="004460C8"/>
    <w:rsid w:val="00451CCD"/>
    <w:rsid w:val="00452100"/>
    <w:rsid w:val="0045212E"/>
    <w:rsid w:val="00452A6A"/>
    <w:rsid w:val="00452D76"/>
    <w:rsid w:val="0045410B"/>
    <w:rsid w:val="00460170"/>
    <w:rsid w:val="004603F6"/>
    <w:rsid w:val="004604CF"/>
    <w:rsid w:val="00460C2C"/>
    <w:rsid w:val="00461E6B"/>
    <w:rsid w:val="00461FBD"/>
    <w:rsid w:val="004625EE"/>
    <w:rsid w:val="00462730"/>
    <w:rsid w:val="00462A69"/>
    <w:rsid w:val="004639CF"/>
    <w:rsid w:val="00465D5E"/>
    <w:rsid w:val="00465F25"/>
    <w:rsid w:val="00466B53"/>
    <w:rsid w:val="00466E5B"/>
    <w:rsid w:val="004670AD"/>
    <w:rsid w:val="00467D91"/>
    <w:rsid w:val="00470BE7"/>
    <w:rsid w:val="00472AEA"/>
    <w:rsid w:val="00473CCD"/>
    <w:rsid w:val="00474089"/>
    <w:rsid w:val="00475807"/>
    <w:rsid w:val="00475EF2"/>
    <w:rsid w:val="00481408"/>
    <w:rsid w:val="0048215F"/>
    <w:rsid w:val="004821EE"/>
    <w:rsid w:val="00483B68"/>
    <w:rsid w:val="00484002"/>
    <w:rsid w:val="0048411B"/>
    <w:rsid w:val="004854CD"/>
    <w:rsid w:val="0048626B"/>
    <w:rsid w:val="004862DE"/>
    <w:rsid w:val="004865CC"/>
    <w:rsid w:val="00486D0C"/>
    <w:rsid w:val="0048730A"/>
    <w:rsid w:val="00487CF7"/>
    <w:rsid w:val="00487D2E"/>
    <w:rsid w:val="00490E5A"/>
    <w:rsid w:val="0049119B"/>
    <w:rsid w:val="0049130B"/>
    <w:rsid w:val="0049137A"/>
    <w:rsid w:val="00495F90"/>
    <w:rsid w:val="00496DC2"/>
    <w:rsid w:val="004A039D"/>
    <w:rsid w:val="004A3279"/>
    <w:rsid w:val="004A3FDA"/>
    <w:rsid w:val="004A4533"/>
    <w:rsid w:val="004A4A5D"/>
    <w:rsid w:val="004A4D14"/>
    <w:rsid w:val="004A4F9E"/>
    <w:rsid w:val="004A5B4B"/>
    <w:rsid w:val="004A72F6"/>
    <w:rsid w:val="004A7B9A"/>
    <w:rsid w:val="004B077A"/>
    <w:rsid w:val="004B0BCA"/>
    <w:rsid w:val="004B254D"/>
    <w:rsid w:val="004B39A4"/>
    <w:rsid w:val="004B3F07"/>
    <w:rsid w:val="004B45D2"/>
    <w:rsid w:val="004B4777"/>
    <w:rsid w:val="004B54CA"/>
    <w:rsid w:val="004B5E6B"/>
    <w:rsid w:val="004B5F1D"/>
    <w:rsid w:val="004B75A9"/>
    <w:rsid w:val="004B7980"/>
    <w:rsid w:val="004B7E0C"/>
    <w:rsid w:val="004C073A"/>
    <w:rsid w:val="004C075D"/>
    <w:rsid w:val="004C4992"/>
    <w:rsid w:val="004C49E2"/>
    <w:rsid w:val="004C4D57"/>
    <w:rsid w:val="004C6C61"/>
    <w:rsid w:val="004C6CE2"/>
    <w:rsid w:val="004C7838"/>
    <w:rsid w:val="004C796C"/>
    <w:rsid w:val="004D0470"/>
    <w:rsid w:val="004D0B44"/>
    <w:rsid w:val="004D127F"/>
    <w:rsid w:val="004D1F8C"/>
    <w:rsid w:val="004D2950"/>
    <w:rsid w:val="004D2D2C"/>
    <w:rsid w:val="004D32B5"/>
    <w:rsid w:val="004D3424"/>
    <w:rsid w:val="004D3929"/>
    <w:rsid w:val="004D4B64"/>
    <w:rsid w:val="004D5FB4"/>
    <w:rsid w:val="004D66E3"/>
    <w:rsid w:val="004D6D5B"/>
    <w:rsid w:val="004D764D"/>
    <w:rsid w:val="004E21FC"/>
    <w:rsid w:val="004E2CB6"/>
    <w:rsid w:val="004E480C"/>
    <w:rsid w:val="004E4B66"/>
    <w:rsid w:val="004E5CBF"/>
    <w:rsid w:val="004E5F51"/>
    <w:rsid w:val="004E739B"/>
    <w:rsid w:val="004F009F"/>
    <w:rsid w:val="004F09EF"/>
    <w:rsid w:val="004F1A93"/>
    <w:rsid w:val="004F2629"/>
    <w:rsid w:val="004F3760"/>
    <w:rsid w:val="004F46B5"/>
    <w:rsid w:val="004F547F"/>
    <w:rsid w:val="004F5546"/>
    <w:rsid w:val="004F5BED"/>
    <w:rsid w:val="004F5C55"/>
    <w:rsid w:val="004F614E"/>
    <w:rsid w:val="004F61B9"/>
    <w:rsid w:val="004F62E2"/>
    <w:rsid w:val="005005EF"/>
    <w:rsid w:val="00500872"/>
    <w:rsid w:val="005021E6"/>
    <w:rsid w:val="00502E97"/>
    <w:rsid w:val="00503FF3"/>
    <w:rsid w:val="00504246"/>
    <w:rsid w:val="0050443B"/>
    <w:rsid w:val="0050456B"/>
    <w:rsid w:val="005058E8"/>
    <w:rsid w:val="00505A50"/>
    <w:rsid w:val="00505EE0"/>
    <w:rsid w:val="00507986"/>
    <w:rsid w:val="0051081D"/>
    <w:rsid w:val="00511DDE"/>
    <w:rsid w:val="0051237D"/>
    <w:rsid w:val="00512CFB"/>
    <w:rsid w:val="005132FD"/>
    <w:rsid w:val="005138A2"/>
    <w:rsid w:val="005139D2"/>
    <w:rsid w:val="0051495C"/>
    <w:rsid w:val="0051611F"/>
    <w:rsid w:val="0051777E"/>
    <w:rsid w:val="00517C1A"/>
    <w:rsid w:val="00517D99"/>
    <w:rsid w:val="00521F16"/>
    <w:rsid w:val="005222AC"/>
    <w:rsid w:val="0052318A"/>
    <w:rsid w:val="0052370E"/>
    <w:rsid w:val="00523D9B"/>
    <w:rsid w:val="00523DCB"/>
    <w:rsid w:val="00524ABA"/>
    <w:rsid w:val="0052567C"/>
    <w:rsid w:val="00525BC4"/>
    <w:rsid w:val="00525FD2"/>
    <w:rsid w:val="00526CC2"/>
    <w:rsid w:val="00526D3C"/>
    <w:rsid w:val="00527533"/>
    <w:rsid w:val="00531EF6"/>
    <w:rsid w:val="005324CA"/>
    <w:rsid w:val="00535231"/>
    <w:rsid w:val="00536E0E"/>
    <w:rsid w:val="005374B5"/>
    <w:rsid w:val="005408B2"/>
    <w:rsid w:val="00541F85"/>
    <w:rsid w:val="00542388"/>
    <w:rsid w:val="005423E3"/>
    <w:rsid w:val="00542802"/>
    <w:rsid w:val="0054416B"/>
    <w:rsid w:val="0054531C"/>
    <w:rsid w:val="00545DDC"/>
    <w:rsid w:val="00546642"/>
    <w:rsid w:val="00546842"/>
    <w:rsid w:val="00550611"/>
    <w:rsid w:val="005507CD"/>
    <w:rsid w:val="00550987"/>
    <w:rsid w:val="00550DD9"/>
    <w:rsid w:val="00553657"/>
    <w:rsid w:val="00553771"/>
    <w:rsid w:val="00554E7C"/>
    <w:rsid w:val="005552C6"/>
    <w:rsid w:val="0055696F"/>
    <w:rsid w:val="00557A98"/>
    <w:rsid w:val="00557EAE"/>
    <w:rsid w:val="005608F3"/>
    <w:rsid w:val="00560B5F"/>
    <w:rsid w:val="00560C4D"/>
    <w:rsid w:val="00562578"/>
    <w:rsid w:val="00562717"/>
    <w:rsid w:val="00562B07"/>
    <w:rsid w:val="00565D76"/>
    <w:rsid w:val="00566388"/>
    <w:rsid w:val="00566F20"/>
    <w:rsid w:val="00567964"/>
    <w:rsid w:val="0057078F"/>
    <w:rsid w:val="00570A13"/>
    <w:rsid w:val="00570C35"/>
    <w:rsid w:val="005710EF"/>
    <w:rsid w:val="00571FF0"/>
    <w:rsid w:val="005722D9"/>
    <w:rsid w:val="005735F3"/>
    <w:rsid w:val="00574AE3"/>
    <w:rsid w:val="00574FB5"/>
    <w:rsid w:val="00576563"/>
    <w:rsid w:val="00576A2D"/>
    <w:rsid w:val="00577522"/>
    <w:rsid w:val="00577599"/>
    <w:rsid w:val="00580965"/>
    <w:rsid w:val="00581D68"/>
    <w:rsid w:val="00582B13"/>
    <w:rsid w:val="005851E4"/>
    <w:rsid w:val="00585772"/>
    <w:rsid w:val="00585BB1"/>
    <w:rsid w:val="00585D65"/>
    <w:rsid w:val="0059336E"/>
    <w:rsid w:val="00593A0B"/>
    <w:rsid w:val="00595693"/>
    <w:rsid w:val="00595E81"/>
    <w:rsid w:val="00596DED"/>
    <w:rsid w:val="00597003"/>
    <w:rsid w:val="0059799C"/>
    <w:rsid w:val="005A0A02"/>
    <w:rsid w:val="005A131E"/>
    <w:rsid w:val="005A2F1D"/>
    <w:rsid w:val="005A322A"/>
    <w:rsid w:val="005A3329"/>
    <w:rsid w:val="005A39D0"/>
    <w:rsid w:val="005A4113"/>
    <w:rsid w:val="005A55E6"/>
    <w:rsid w:val="005A61E7"/>
    <w:rsid w:val="005A6D78"/>
    <w:rsid w:val="005A717F"/>
    <w:rsid w:val="005A73E8"/>
    <w:rsid w:val="005B12BF"/>
    <w:rsid w:val="005B5497"/>
    <w:rsid w:val="005B682D"/>
    <w:rsid w:val="005B7138"/>
    <w:rsid w:val="005B7248"/>
    <w:rsid w:val="005B74AB"/>
    <w:rsid w:val="005C03D6"/>
    <w:rsid w:val="005C0F0F"/>
    <w:rsid w:val="005C146A"/>
    <w:rsid w:val="005C246E"/>
    <w:rsid w:val="005C2519"/>
    <w:rsid w:val="005C2ECB"/>
    <w:rsid w:val="005C308F"/>
    <w:rsid w:val="005C30DD"/>
    <w:rsid w:val="005C3AA9"/>
    <w:rsid w:val="005C5112"/>
    <w:rsid w:val="005C5999"/>
    <w:rsid w:val="005C7A04"/>
    <w:rsid w:val="005C7CAD"/>
    <w:rsid w:val="005D127D"/>
    <w:rsid w:val="005D12AE"/>
    <w:rsid w:val="005D1AEB"/>
    <w:rsid w:val="005D1CC8"/>
    <w:rsid w:val="005D22F8"/>
    <w:rsid w:val="005D29C2"/>
    <w:rsid w:val="005D2AF1"/>
    <w:rsid w:val="005D5153"/>
    <w:rsid w:val="005D5BF5"/>
    <w:rsid w:val="005D730D"/>
    <w:rsid w:val="005D7A19"/>
    <w:rsid w:val="005E129E"/>
    <w:rsid w:val="005E26AC"/>
    <w:rsid w:val="005E2D87"/>
    <w:rsid w:val="005E5BDD"/>
    <w:rsid w:val="005E5D8A"/>
    <w:rsid w:val="005E5F0E"/>
    <w:rsid w:val="005E6874"/>
    <w:rsid w:val="005E73BC"/>
    <w:rsid w:val="005E7D4C"/>
    <w:rsid w:val="005E7F81"/>
    <w:rsid w:val="005F0BB3"/>
    <w:rsid w:val="005F0F24"/>
    <w:rsid w:val="005F14DF"/>
    <w:rsid w:val="005F3CDB"/>
    <w:rsid w:val="005F4CD8"/>
    <w:rsid w:val="005F635D"/>
    <w:rsid w:val="005F6519"/>
    <w:rsid w:val="005F655E"/>
    <w:rsid w:val="005F65BE"/>
    <w:rsid w:val="005F6C4C"/>
    <w:rsid w:val="005F7608"/>
    <w:rsid w:val="005F788F"/>
    <w:rsid w:val="005F7986"/>
    <w:rsid w:val="005F7CCB"/>
    <w:rsid w:val="0060026A"/>
    <w:rsid w:val="00601205"/>
    <w:rsid w:val="00602B32"/>
    <w:rsid w:val="00603307"/>
    <w:rsid w:val="00604E92"/>
    <w:rsid w:val="00607F39"/>
    <w:rsid w:val="00611A52"/>
    <w:rsid w:val="00611BEF"/>
    <w:rsid w:val="00615127"/>
    <w:rsid w:val="00615665"/>
    <w:rsid w:val="00616870"/>
    <w:rsid w:val="00616BF1"/>
    <w:rsid w:val="0061757D"/>
    <w:rsid w:val="00617C11"/>
    <w:rsid w:val="00620A42"/>
    <w:rsid w:val="00621649"/>
    <w:rsid w:val="00622A9F"/>
    <w:rsid w:val="00624194"/>
    <w:rsid w:val="006242EE"/>
    <w:rsid w:val="00624F25"/>
    <w:rsid w:val="0062535A"/>
    <w:rsid w:val="00626BD3"/>
    <w:rsid w:val="00626CA5"/>
    <w:rsid w:val="00626E31"/>
    <w:rsid w:val="00626E52"/>
    <w:rsid w:val="0063002A"/>
    <w:rsid w:val="006316E5"/>
    <w:rsid w:val="00632465"/>
    <w:rsid w:val="006327BA"/>
    <w:rsid w:val="00633376"/>
    <w:rsid w:val="00633670"/>
    <w:rsid w:val="00633D16"/>
    <w:rsid w:val="00634070"/>
    <w:rsid w:val="00634380"/>
    <w:rsid w:val="00634462"/>
    <w:rsid w:val="00635E46"/>
    <w:rsid w:val="0063710A"/>
    <w:rsid w:val="00637726"/>
    <w:rsid w:val="00637A4B"/>
    <w:rsid w:val="00640549"/>
    <w:rsid w:val="0064076C"/>
    <w:rsid w:val="006408DE"/>
    <w:rsid w:val="00640C96"/>
    <w:rsid w:val="00641137"/>
    <w:rsid w:val="00641982"/>
    <w:rsid w:val="0064341D"/>
    <w:rsid w:val="0064433E"/>
    <w:rsid w:val="00644426"/>
    <w:rsid w:val="00645C87"/>
    <w:rsid w:val="00646755"/>
    <w:rsid w:val="00646AE9"/>
    <w:rsid w:val="00647AF4"/>
    <w:rsid w:val="006509C6"/>
    <w:rsid w:val="0065154A"/>
    <w:rsid w:val="0065184C"/>
    <w:rsid w:val="00652144"/>
    <w:rsid w:val="006530BE"/>
    <w:rsid w:val="006532DC"/>
    <w:rsid w:val="00654BC4"/>
    <w:rsid w:val="00654D47"/>
    <w:rsid w:val="00655748"/>
    <w:rsid w:val="006560A1"/>
    <w:rsid w:val="006561D1"/>
    <w:rsid w:val="00660F4C"/>
    <w:rsid w:val="00660FBD"/>
    <w:rsid w:val="006618EF"/>
    <w:rsid w:val="00662C14"/>
    <w:rsid w:val="00663ABB"/>
    <w:rsid w:val="00663E3E"/>
    <w:rsid w:val="00663EEB"/>
    <w:rsid w:val="006646E0"/>
    <w:rsid w:val="00665E29"/>
    <w:rsid w:val="00667EA4"/>
    <w:rsid w:val="00670764"/>
    <w:rsid w:val="0067088F"/>
    <w:rsid w:val="00671760"/>
    <w:rsid w:val="006727B4"/>
    <w:rsid w:val="00672BF6"/>
    <w:rsid w:val="00673901"/>
    <w:rsid w:val="00673F54"/>
    <w:rsid w:val="00674223"/>
    <w:rsid w:val="0067471E"/>
    <w:rsid w:val="00675431"/>
    <w:rsid w:val="00675A2E"/>
    <w:rsid w:val="006769E2"/>
    <w:rsid w:val="00677221"/>
    <w:rsid w:val="00677894"/>
    <w:rsid w:val="00677FA7"/>
    <w:rsid w:val="00680E3D"/>
    <w:rsid w:val="00681C69"/>
    <w:rsid w:val="00681E9B"/>
    <w:rsid w:val="00683EA9"/>
    <w:rsid w:val="006842C9"/>
    <w:rsid w:val="00685829"/>
    <w:rsid w:val="00686219"/>
    <w:rsid w:val="00686599"/>
    <w:rsid w:val="00686C0E"/>
    <w:rsid w:val="0069032E"/>
    <w:rsid w:val="00691F5B"/>
    <w:rsid w:val="00693C85"/>
    <w:rsid w:val="006947D5"/>
    <w:rsid w:val="00695258"/>
    <w:rsid w:val="00695337"/>
    <w:rsid w:val="00696CB7"/>
    <w:rsid w:val="006979BA"/>
    <w:rsid w:val="006A14D1"/>
    <w:rsid w:val="006A3A49"/>
    <w:rsid w:val="006A3BD0"/>
    <w:rsid w:val="006A4CE7"/>
    <w:rsid w:val="006A5B33"/>
    <w:rsid w:val="006A6453"/>
    <w:rsid w:val="006A6825"/>
    <w:rsid w:val="006A688A"/>
    <w:rsid w:val="006B0054"/>
    <w:rsid w:val="006B18F0"/>
    <w:rsid w:val="006B24D6"/>
    <w:rsid w:val="006B31EA"/>
    <w:rsid w:val="006B46F5"/>
    <w:rsid w:val="006B4BB8"/>
    <w:rsid w:val="006B5510"/>
    <w:rsid w:val="006B659A"/>
    <w:rsid w:val="006B67C2"/>
    <w:rsid w:val="006B6C2C"/>
    <w:rsid w:val="006B723E"/>
    <w:rsid w:val="006C1072"/>
    <w:rsid w:val="006C1644"/>
    <w:rsid w:val="006C33B7"/>
    <w:rsid w:val="006C3591"/>
    <w:rsid w:val="006C3CB9"/>
    <w:rsid w:val="006C3CE7"/>
    <w:rsid w:val="006C4413"/>
    <w:rsid w:val="006C45F5"/>
    <w:rsid w:val="006C53AB"/>
    <w:rsid w:val="006C5EE7"/>
    <w:rsid w:val="006C6464"/>
    <w:rsid w:val="006C6FB1"/>
    <w:rsid w:val="006D1B9D"/>
    <w:rsid w:val="006D24B1"/>
    <w:rsid w:val="006D2671"/>
    <w:rsid w:val="006D33E5"/>
    <w:rsid w:val="006D3543"/>
    <w:rsid w:val="006D3817"/>
    <w:rsid w:val="006D38C7"/>
    <w:rsid w:val="006D3ABC"/>
    <w:rsid w:val="006D3DC6"/>
    <w:rsid w:val="006D5041"/>
    <w:rsid w:val="006D5684"/>
    <w:rsid w:val="006D5B60"/>
    <w:rsid w:val="006D5CB3"/>
    <w:rsid w:val="006D67F0"/>
    <w:rsid w:val="006D7141"/>
    <w:rsid w:val="006D7246"/>
    <w:rsid w:val="006E072C"/>
    <w:rsid w:val="006E2500"/>
    <w:rsid w:val="006E2F47"/>
    <w:rsid w:val="006E36D2"/>
    <w:rsid w:val="006E40E0"/>
    <w:rsid w:val="006E5308"/>
    <w:rsid w:val="006E5845"/>
    <w:rsid w:val="006E699F"/>
    <w:rsid w:val="006E6A52"/>
    <w:rsid w:val="006E6EFD"/>
    <w:rsid w:val="006E7367"/>
    <w:rsid w:val="006F0971"/>
    <w:rsid w:val="006F0E5B"/>
    <w:rsid w:val="006F1C78"/>
    <w:rsid w:val="006F27F0"/>
    <w:rsid w:val="006F2C80"/>
    <w:rsid w:val="006F40F3"/>
    <w:rsid w:val="006F4350"/>
    <w:rsid w:val="006F55FC"/>
    <w:rsid w:val="006F56B2"/>
    <w:rsid w:val="006F5BCF"/>
    <w:rsid w:val="006F5D19"/>
    <w:rsid w:val="006F645A"/>
    <w:rsid w:val="007004FD"/>
    <w:rsid w:val="007005FF"/>
    <w:rsid w:val="00700AE5"/>
    <w:rsid w:val="007018D0"/>
    <w:rsid w:val="00704E03"/>
    <w:rsid w:val="00706726"/>
    <w:rsid w:val="00706853"/>
    <w:rsid w:val="007072E8"/>
    <w:rsid w:val="0071042C"/>
    <w:rsid w:val="007116D7"/>
    <w:rsid w:val="0071188E"/>
    <w:rsid w:val="00711930"/>
    <w:rsid w:val="00712B6A"/>
    <w:rsid w:val="007130BC"/>
    <w:rsid w:val="00713BD1"/>
    <w:rsid w:val="00715EBC"/>
    <w:rsid w:val="00717918"/>
    <w:rsid w:val="00720700"/>
    <w:rsid w:val="007209BB"/>
    <w:rsid w:val="00721840"/>
    <w:rsid w:val="007219F1"/>
    <w:rsid w:val="00722CD5"/>
    <w:rsid w:val="00723538"/>
    <w:rsid w:val="007241C1"/>
    <w:rsid w:val="0072442B"/>
    <w:rsid w:val="00725E71"/>
    <w:rsid w:val="00726420"/>
    <w:rsid w:val="007265FF"/>
    <w:rsid w:val="0072789D"/>
    <w:rsid w:val="00730D34"/>
    <w:rsid w:val="00731379"/>
    <w:rsid w:val="00732AA5"/>
    <w:rsid w:val="0073363D"/>
    <w:rsid w:val="007337E3"/>
    <w:rsid w:val="00734BDD"/>
    <w:rsid w:val="00735B33"/>
    <w:rsid w:val="0073762C"/>
    <w:rsid w:val="00740B30"/>
    <w:rsid w:val="00740D6B"/>
    <w:rsid w:val="00741C77"/>
    <w:rsid w:val="00741F57"/>
    <w:rsid w:val="00742907"/>
    <w:rsid w:val="00742D59"/>
    <w:rsid w:val="00743475"/>
    <w:rsid w:val="00743FAA"/>
    <w:rsid w:val="00744EA9"/>
    <w:rsid w:val="007476B1"/>
    <w:rsid w:val="007501CE"/>
    <w:rsid w:val="00752D79"/>
    <w:rsid w:val="007531F9"/>
    <w:rsid w:val="00753ACD"/>
    <w:rsid w:val="00755065"/>
    <w:rsid w:val="0075521F"/>
    <w:rsid w:val="00755599"/>
    <w:rsid w:val="00756EDC"/>
    <w:rsid w:val="007577DA"/>
    <w:rsid w:val="007611B2"/>
    <w:rsid w:val="00761B06"/>
    <w:rsid w:val="00761B51"/>
    <w:rsid w:val="00764868"/>
    <w:rsid w:val="00764D3A"/>
    <w:rsid w:val="00764EAE"/>
    <w:rsid w:val="00765B0A"/>
    <w:rsid w:val="00765D6C"/>
    <w:rsid w:val="007675B5"/>
    <w:rsid w:val="00770703"/>
    <w:rsid w:val="00771A61"/>
    <w:rsid w:val="00774CF5"/>
    <w:rsid w:val="0077565E"/>
    <w:rsid w:val="00775F52"/>
    <w:rsid w:val="00776529"/>
    <w:rsid w:val="00776F56"/>
    <w:rsid w:val="00780C0E"/>
    <w:rsid w:val="00781370"/>
    <w:rsid w:val="00781969"/>
    <w:rsid w:val="00782881"/>
    <w:rsid w:val="0078344E"/>
    <w:rsid w:val="00783B0B"/>
    <w:rsid w:val="00783B40"/>
    <w:rsid w:val="00783D8A"/>
    <w:rsid w:val="00784722"/>
    <w:rsid w:val="00784C2F"/>
    <w:rsid w:val="00784DA6"/>
    <w:rsid w:val="00784FFF"/>
    <w:rsid w:val="00785261"/>
    <w:rsid w:val="00785A2A"/>
    <w:rsid w:val="00785A6B"/>
    <w:rsid w:val="00785C4E"/>
    <w:rsid w:val="00786DB3"/>
    <w:rsid w:val="007874CE"/>
    <w:rsid w:val="00787E3C"/>
    <w:rsid w:val="00787EA2"/>
    <w:rsid w:val="007900BA"/>
    <w:rsid w:val="00790399"/>
    <w:rsid w:val="007906BC"/>
    <w:rsid w:val="00791A1D"/>
    <w:rsid w:val="0079278F"/>
    <w:rsid w:val="00792F5D"/>
    <w:rsid w:val="00793698"/>
    <w:rsid w:val="00794345"/>
    <w:rsid w:val="007945DA"/>
    <w:rsid w:val="00795E4C"/>
    <w:rsid w:val="00795E83"/>
    <w:rsid w:val="00796529"/>
    <w:rsid w:val="007971EA"/>
    <w:rsid w:val="00797E78"/>
    <w:rsid w:val="007A0530"/>
    <w:rsid w:val="007A0633"/>
    <w:rsid w:val="007A1EBF"/>
    <w:rsid w:val="007A2C8D"/>
    <w:rsid w:val="007A3B4A"/>
    <w:rsid w:val="007A3CD4"/>
    <w:rsid w:val="007A4015"/>
    <w:rsid w:val="007A4284"/>
    <w:rsid w:val="007A5783"/>
    <w:rsid w:val="007A6D30"/>
    <w:rsid w:val="007B0256"/>
    <w:rsid w:val="007B1519"/>
    <w:rsid w:val="007B2048"/>
    <w:rsid w:val="007B3FB5"/>
    <w:rsid w:val="007B4114"/>
    <w:rsid w:val="007B5019"/>
    <w:rsid w:val="007B5635"/>
    <w:rsid w:val="007B705C"/>
    <w:rsid w:val="007B7BC8"/>
    <w:rsid w:val="007C09DD"/>
    <w:rsid w:val="007C109E"/>
    <w:rsid w:val="007C1887"/>
    <w:rsid w:val="007C243B"/>
    <w:rsid w:val="007C466F"/>
    <w:rsid w:val="007C5B55"/>
    <w:rsid w:val="007C5F76"/>
    <w:rsid w:val="007C6044"/>
    <w:rsid w:val="007C7145"/>
    <w:rsid w:val="007D0ECA"/>
    <w:rsid w:val="007D1C15"/>
    <w:rsid w:val="007D2510"/>
    <w:rsid w:val="007D2A6F"/>
    <w:rsid w:val="007D2CFD"/>
    <w:rsid w:val="007D34CE"/>
    <w:rsid w:val="007D477B"/>
    <w:rsid w:val="007D4EB4"/>
    <w:rsid w:val="007D596C"/>
    <w:rsid w:val="007D59EF"/>
    <w:rsid w:val="007D6067"/>
    <w:rsid w:val="007D6C3E"/>
    <w:rsid w:val="007E053C"/>
    <w:rsid w:val="007E24FA"/>
    <w:rsid w:val="007E2B60"/>
    <w:rsid w:val="007E3126"/>
    <w:rsid w:val="007E33AA"/>
    <w:rsid w:val="007E3BD8"/>
    <w:rsid w:val="007E3E79"/>
    <w:rsid w:val="007E439E"/>
    <w:rsid w:val="007E582D"/>
    <w:rsid w:val="007E5C7B"/>
    <w:rsid w:val="007E6E62"/>
    <w:rsid w:val="007E76A3"/>
    <w:rsid w:val="007E7D33"/>
    <w:rsid w:val="007F033A"/>
    <w:rsid w:val="007F0784"/>
    <w:rsid w:val="007F0B66"/>
    <w:rsid w:val="007F0FBA"/>
    <w:rsid w:val="007F49C1"/>
    <w:rsid w:val="007F5336"/>
    <w:rsid w:val="007F74CF"/>
    <w:rsid w:val="007F7E2D"/>
    <w:rsid w:val="008004C0"/>
    <w:rsid w:val="008007AC"/>
    <w:rsid w:val="00801C19"/>
    <w:rsid w:val="008024DE"/>
    <w:rsid w:val="00804404"/>
    <w:rsid w:val="00804BE3"/>
    <w:rsid w:val="00804F72"/>
    <w:rsid w:val="008055D2"/>
    <w:rsid w:val="008059C3"/>
    <w:rsid w:val="00805A34"/>
    <w:rsid w:val="00805EE1"/>
    <w:rsid w:val="00806DF6"/>
    <w:rsid w:val="008100CC"/>
    <w:rsid w:val="0081062A"/>
    <w:rsid w:val="00810FEC"/>
    <w:rsid w:val="00811812"/>
    <w:rsid w:val="00811C14"/>
    <w:rsid w:val="008129D9"/>
    <w:rsid w:val="00812FD9"/>
    <w:rsid w:val="008136AF"/>
    <w:rsid w:val="00813CFC"/>
    <w:rsid w:val="008145DB"/>
    <w:rsid w:val="00814A59"/>
    <w:rsid w:val="00814FF6"/>
    <w:rsid w:val="00815C81"/>
    <w:rsid w:val="008203D2"/>
    <w:rsid w:val="00820F51"/>
    <w:rsid w:val="008215F6"/>
    <w:rsid w:val="00821E97"/>
    <w:rsid w:val="00822161"/>
    <w:rsid w:val="00822BEE"/>
    <w:rsid w:val="00822EDE"/>
    <w:rsid w:val="00823428"/>
    <w:rsid w:val="008267A9"/>
    <w:rsid w:val="00827FDF"/>
    <w:rsid w:val="00830787"/>
    <w:rsid w:val="00830CF0"/>
    <w:rsid w:val="00834094"/>
    <w:rsid w:val="00834D96"/>
    <w:rsid w:val="00835714"/>
    <w:rsid w:val="00836C80"/>
    <w:rsid w:val="008408FD"/>
    <w:rsid w:val="00840CC6"/>
    <w:rsid w:val="0084229C"/>
    <w:rsid w:val="008428A5"/>
    <w:rsid w:val="008429D3"/>
    <w:rsid w:val="00844995"/>
    <w:rsid w:val="00846585"/>
    <w:rsid w:val="00846C94"/>
    <w:rsid w:val="00846E06"/>
    <w:rsid w:val="00847B37"/>
    <w:rsid w:val="00847E78"/>
    <w:rsid w:val="00850053"/>
    <w:rsid w:val="008505D9"/>
    <w:rsid w:val="0085094E"/>
    <w:rsid w:val="008515DC"/>
    <w:rsid w:val="008516A9"/>
    <w:rsid w:val="008529BD"/>
    <w:rsid w:val="00852C2E"/>
    <w:rsid w:val="00853F6D"/>
    <w:rsid w:val="008542A9"/>
    <w:rsid w:val="00854914"/>
    <w:rsid w:val="008564E1"/>
    <w:rsid w:val="0085656E"/>
    <w:rsid w:val="00856595"/>
    <w:rsid w:val="008567A0"/>
    <w:rsid w:val="008567F5"/>
    <w:rsid w:val="00856AA0"/>
    <w:rsid w:val="00856E83"/>
    <w:rsid w:val="0086064A"/>
    <w:rsid w:val="0086139A"/>
    <w:rsid w:val="008631D7"/>
    <w:rsid w:val="00864634"/>
    <w:rsid w:val="00865295"/>
    <w:rsid w:val="008663BB"/>
    <w:rsid w:val="00867049"/>
    <w:rsid w:val="00867DC1"/>
    <w:rsid w:val="008716A8"/>
    <w:rsid w:val="008741D0"/>
    <w:rsid w:val="00874729"/>
    <w:rsid w:val="00874FC2"/>
    <w:rsid w:val="008758DB"/>
    <w:rsid w:val="00875D49"/>
    <w:rsid w:val="00877EE1"/>
    <w:rsid w:val="00880707"/>
    <w:rsid w:val="00880ADB"/>
    <w:rsid w:val="00882034"/>
    <w:rsid w:val="0088276E"/>
    <w:rsid w:val="008831FE"/>
    <w:rsid w:val="00887A6F"/>
    <w:rsid w:val="00890524"/>
    <w:rsid w:val="00890954"/>
    <w:rsid w:val="008912FD"/>
    <w:rsid w:val="00891A40"/>
    <w:rsid w:val="008930A4"/>
    <w:rsid w:val="00895866"/>
    <w:rsid w:val="00896AF9"/>
    <w:rsid w:val="00896B0F"/>
    <w:rsid w:val="00896EF9"/>
    <w:rsid w:val="008974A3"/>
    <w:rsid w:val="008A21EF"/>
    <w:rsid w:val="008A26BB"/>
    <w:rsid w:val="008A2741"/>
    <w:rsid w:val="008A2CCA"/>
    <w:rsid w:val="008A331C"/>
    <w:rsid w:val="008A5E1C"/>
    <w:rsid w:val="008A6C95"/>
    <w:rsid w:val="008B1438"/>
    <w:rsid w:val="008B16DD"/>
    <w:rsid w:val="008B1E75"/>
    <w:rsid w:val="008B23C5"/>
    <w:rsid w:val="008B68FB"/>
    <w:rsid w:val="008C00B6"/>
    <w:rsid w:val="008C50BC"/>
    <w:rsid w:val="008C5D0C"/>
    <w:rsid w:val="008D02AF"/>
    <w:rsid w:val="008D18BE"/>
    <w:rsid w:val="008D29BB"/>
    <w:rsid w:val="008D478A"/>
    <w:rsid w:val="008D7BCC"/>
    <w:rsid w:val="008E13D8"/>
    <w:rsid w:val="008E24FF"/>
    <w:rsid w:val="008E31A6"/>
    <w:rsid w:val="008E53B7"/>
    <w:rsid w:val="008E5725"/>
    <w:rsid w:val="008F124F"/>
    <w:rsid w:val="008F1288"/>
    <w:rsid w:val="008F255A"/>
    <w:rsid w:val="008F66EE"/>
    <w:rsid w:val="008F6B4E"/>
    <w:rsid w:val="008F6CFC"/>
    <w:rsid w:val="008F74AA"/>
    <w:rsid w:val="00900E70"/>
    <w:rsid w:val="00900FC3"/>
    <w:rsid w:val="00901C91"/>
    <w:rsid w:val="00902F14"/>
    <w:rsid w:val="009032A5"/>
    <w:rsid w:val="0090334E"/>
    <w:rsid w:val="009033CD"/>
    <w:rsid w:val="00903E77"/>
    <w:rsid w:val="00906474"/>
    <w:rsid w:val="009067A4"/>
    <w:rsid w:val="00906DF3"/>
    <w:rsid w:val="00907A98"/>
    <w:rsid w:val="00910CB3"/>
    <w:rsid w:val="009133C3"/>
    <w:rsid w:val="00913EFE"/>
    <w:rsid w:val="0091450D"/>
    <w:rsid w:val="009153E4"/>
    <w:rsid w:val="00916578"/>
    <w:rsid w:val="00917176"/>
    <w:rsid w:val="0091725E"/>
    <w:rsid w:val="00917B06"/>
    <w:rsid w:val="0092086B"/>
    <w:rsid w:val="00921355"/>
    <w:rsid w:val="00921722"/>
    <w:rsid w:val="009225F0"/>
    <w:rsid w:val="00923ED2"/>
    <w:rsid w:val="00924C44"/>
    <w:rsid w:val="00925032"/>
    <w:rsid w:val="00925E58"/>
    <w:rsid w:val="009271F8"/>
    <w:rsid w:val="00927300"/>
    <w:rsid w:val="00927EEB"/>
    <w:rsid w:val="00930315"/>
    <w:rsid w:val="00930D27"/>
    <w:rsid w:val="00930E91"/>
    <w:rsid w:val="009313F2"/>
    <w:rsid w:val="00931AA8"/>
    <w:rsid w:val="00932E2E"/>
    <w:rsid w:val="00933432"/>
    <w:rsid w:val="00933A3D"/>
    <w:rsid w:val="00935ED5"/>
    <w:rsid w:val="009360B8"/>
    <w:rsid w:val="009362BB"/>
    <w:rsid w:val="00936315"/>
    <w:rsid w:val="0093671D"/>
    <w:rsid w:val="009367A3"/>
    <w:rsid w:val="00940C48"/>
    <w:rsid w:val="00943EBC"/>
    <w:rsid w:val="0094428E"/>
    <w:rsid w:val="00944B85"/>
    <w:rsid w:val="00946B4F"/>
    <w:rsid w:val="009479EF"/>
    <w:rsid w:val="009502BC"/>
    <w:rsid w:val="0095057E"/>
    <w:rsid w:val="00950C9B"/>
    <w:rsid w:val="00950CEA"/>
    <w:rsid w:val="00951739"/>
    <w:rsid w:val="00951EBA"/>
    <w:rsid w:val="00951F01"/>
    <w:rsid w:val="009520D9"/>
    <w:rsid w:val="009520DD"/>
    <w:rsid w:val="00954EDA"/>
    <w:rsid w:val="009558D8"/>
    <w:rsid w:val="0095599E"/>
    <w:rsid w:val="00955A57"/>
    <w:rsid w:val="00956DAE"/>
    <w:rsid w:val="009607D2"/>
    <w:rsid w:val="009624C4"/>
    <w:rsid w:val="00963985"/>
    <w:rsid w:val="00965439"/>
    <w:rsid w:val="00965928"/>
    <w:rsid w:val="00966000"/>
    <w:rsid w:val="0097060F"/>
    <w:rsid w:val="00970CFB"/>
    <w:rsid w:val="00972148"/>
    <w:rsid w:val="00972D29"/>
    <w:rsid w:val="009740EA"/>
    <w:rsid w:val="009743AA"/>
    <w:rsid w:val="009757FC"/>
    <w:rsid w:val="00977038"/>
    <w:rsid w:val="00977D79"/>
    <w:rsid w:val="00984070"/>
    <w:rsid w:val="00984285"/>
    <w:rsid w:val="00985344"/>
    <w:rsid w:val="00986064"/>
    <w:rsid w:val="00987709"/>
    <w:rsid w:val="00987C27"/>
    <w:rsid w:val="009902CC"/>
    <w:rsid w:val="00991464"/>
    <w:rsid w:val="009922EE"/>
    <w:rsid w:val="009927BE"/>
    <w:rsid w:val="00994165"/>
    <w:rsid w:val="009946E5"/>
    <w:rsid w:val="00994C50"/>
    <w:rsid w:val="00994D75"/>
    <w:rsid w:val="00995622"/>
    <w:rsid w:val="00995A74"/>
    <w:rsid w:val="009A03D6"/>
    <w:rsid w:val="009A0D0E"/>
    <w:rsid w:val="009A0DE1"/>
    <w:rsid w:val="009A1765"/>
    <w:rsid w:val="009A3C38"/>
    <w:rsid w:val="009A3E4B"/>
    <w:rsid w:val="009A43C7"/>
    <w:rsid w:val="009A6133"/>
    <w:rsid w:val="009A62C3"/>
    <w:rsid w:val="009A6A5B"/>
    <w:rsid w:val="009A78AF"/>
    <w:rsid w:val="009B1F93"/>
    <w:rsid w:val="009B232E"/>
    <w:rsid w:val="009B2734"/>
    <w:rsid w:val="009B2D01"/>
    <w:rsid w:val="009B2E2F"/>
    <w:rsid w:val="009B345A"/>
    <w:rsid w:val="009B3E85"/>
    <w:rsid w:val="009B4751"/>
    <w:rsid w:val="009B47EC"/>
    <w:rsid w:val="009B500D"/>
    <w:rsid w:val="009B6823"/>
    <w:rsid w:val="009B6C5B"/>
    <w:rsid w:val="009B7162"/>
    <w:rsid w:val="009B75D6"/>
    <w:rsid w:val="009B7BD0"/>
    <w:rsid w:val="009C0B20"/>
    <w:rsid w:val="009C188D"/>
    <w:rsid w:val="009C1BCC"/>
    <w:rsid w:val="009C3272"/>
    <w:rsid w:val="009C3A1D"/>
    <w:rsid w:val="009C4232"/>
    <w:rsid w:val="009C48A9"/>
    <w:rsid w:val="009C4CED"/>
    <w:rsid w:val="009C62D9"/>
    <w:rsid w:val="009C7001"/>
    <w:rsid w:val="009D09CE"/>
    <w:rsid w:val="009D1268"/>
    <w:rsid w:val="009D19FB"/>
    <w:rsid w:val="009D2F05"/>
    <w:rsid w:val="009D3122"/>
    <w:rsid w:val="009D44BD"/>
    <w:rsid w:val="009D49C0"/>
    <w:rsid w:val="009D4B36"/>
    <w:rsid w:val="009D4C82"/>
    <w:rsid w:val="009D71AE"/>
    <w:rsid w:val="009D7BCC"/>
    <w:rsid w:val="009E1D9F"/>
    <w:rsid w:val="009E4131"/>
    <w:rsid w:val="009E5684"/>
    <w:rsid w:val="009E66A5"/>
    <w:rsid w:val="009F019C"/>
    <w:rsid w:val="009F0348"/>
    <w:rsid w:val="009F0D82"/>
    <w:rsid w:val="009F0EC9"/>
    <w:rsid w:val="009F1C14"/>
    <w:rsid w:val="009F1DF2"/>
    <w:rsid w:val="009F2E59"/>
    <w:rsid w:val="009F33CE"/>
    <w:rsid w:val="009F3496"/>
    <w:rsid w:val="009F4561"/>
    <w:rsid w:val="009F52F0"/>
    <w:rsid w:val="009F5AE7"/>
    <w:rsid w:val="009F668B"/>
    <w:rsid w:val="00A02182"/>
    <w:rsid w:val="00A04B32"/>
    <w:rsid w:val="00A053CA"/>
    <w:rsid w:val="00A05F23"/>
    <w:rsid w:val="00A10179"/>
    <w:rsid w:val="00A11552"/>
    <w:rsid w:val="00A11C65"/>
    <w:rsid w:val="00A13373"/>
    <w:rsid w:val="00A13A18"/>
    <w:rsid w:val="00A15C89"/>
    <w:rsid w:val="00A16196"/>
    <w:rsid w:val="00A1662E"/>
    <w:rsid w:val="00A17A66"/>
    <w:rsid w:val="00A20416"/>
    <w:rsid w:val="00A20E53"/>
    <w:rsid w:val="00A21A78"/>
    <w:rsid w:val="00A22A91"/>
    <w:rsid w:val="00A23F0A"/>
    <w:rsid w:val="00A24B72"/>
    <w:rsid w:val="00A24F69"/>
    <w:rsid w:val="00A25011"/>
    <w:rsid w:val="00A2591C"/>
    <w:rsid w:val="00A25E43"/>
    <w:rsid w:val="00A26716"/>
    <w:rsid w:val="00A26730"/>
    <w:rsid w:val="00A2751D"/>
    <w:rsid w:val="00A27686"/>
    <w:rsid w:val="00A32B66"/>
    <w:rsid w:val="00A33413"/>
    <w:rsid w:val="00A3374F"/>
    <w:rsid w:val="00A40145"/>
    <w:rsid w:val="00A4031D"/>
    <w:rsid w:val="00A40C5D"/>
    <w:rsid w:val="00A4180F"/>
    <w:rsid w:val="00A4215D"/>
    <w:rsid w:val="00A42FFE"/>
    <w:rsid w:val="00A43196"/>
    <w:rsid w:val="00A433D4"/>
    <w:rsid w:val="00A4638B"/>
    <w:rsid w:val="00A47347"/>
    <w:rsid w:val="00A47F95"/>
    <w:rsid w:val="00A50BDF"/>
    <w:rsid w:val="00A51F62"/>
    <w:rsid w:val="00A53BBE"/>
    <w:rsid w:val="00A53C3B"/>
    <w:rsid w:val="00A542F9"/>
    <w:rsid w:val="00A54E3A"/>
    <w:rsid w:val="00A5620F"/>
    <w:rsid w:val="00A567DA"/>
    <w:rsid w:val="00A57125"/>
    <w:rsid w:val="00A618AE"/>
    <w:rsid w:val="00A61983"/>
    <w:rsid w:val="00A6417F"/>
    <w:rsid w:val="00A66988"/>
    <w:rsid w:val="00A67A97"/>
    <w:rsid w:val="00A702E4"/>
    <w:rsid w:val="00A70949"/>
    <w:rsid w:val="00A71034"/>
    <w:rsid w:val="00A7338D"/>
    <w:rsid w:val="00A73611"/>
    <w:rsid w:val="00A73BE5"/>
    <w:rsid w:val="00A74044"/>
    <w:rsid w:val="00A747A0"/>
    <w:rsid w:val="00A7491B"/>
    <w:rsid w:val="00A74B62"/>
    <w:rsid w:val="00A7540D"/>
    <w:rsid w:val="00A754AB"/>
    <w:rsid w:val="00A75C0D"/>
    <w:rsid w:val="00A76C90"/>
    <w:rsid w:val="00A76F7C"/>
    <w:rsid w:val="00A80DC8"/>
    <w:rsid w:val="00A818E4"/>
    <w:rsid w:val="00A84AC8"/>
    <w:rsid w:val="00A85220"/>
    <w:rsid w:val="00A85BF6"/>
    <w:rsid w:val="00A860B6"/>
    <w:rsid w:val="00A8673D"/>
    <w:rsid w:val="00A87D89"/>
    <w:rsid w:val="00A9021F"/>
    <w:rsid w:val="00A906BD"/>
    <w:rsid w:val="00A91BC4"/>
    <w:rsid w:val="00A93144"/>
    <w:rsid w:val="00A93FB3"/>
    <w:rsid w:val="00A95AAE"/>
    <w:rsid w:val="00A95B6C"/>
    <w:rsid w:val="00A96166"/>
    <w:rsid w:val="00A96BD8"/>
    <w:rsid w:val="00A97D45"/>
    <w:rsid w:val="00AA0C10"/>
    <w:rsid w:val="00AA28BA"/>
    <w:rsid w:val="00AA2AD9"/>
    <w:rsid w:val="00AA2F99"/>
    <w:rsid w:val="00AA4097"/>
    <w:rsid w:val="00AA4D4D"/>
    <w:rsid w:val="00AA4F44"/>
    <w:rsid w:val="00AA58B2"/>
    <w:rsid w:val="00AA655F"/>
    <w:rsid w:val="00AA6FC2"/>
    <w:rsid w:val="00AA72B9"/>
    <w:rsid w:val="00AA78E7"/>
    <w:rsid w:val="00AA7D3C"/>
    <w:rsid w:val="00AB2D85"/>
    <w:rsid w:val="00AB36C6"/>
    <w:rsid w:val="00AB514A"/>
    <w:rsid w:val="00AB5B85"/>
    <w:rsid w:val="00AB5C9C"/>
    <w:rsid w:val="00AB5CF0"/>
    <w:rsid w:val="00AB77BD"/>
    <w:rsid w:val="00AB7A11"/>
    <w:rsid w:val="00AC0FC4"/>
    <w:rsid w:val="00AC149D"/>
    <w:rsid w:val="00AC2837"/>
    <w:rsid w:val="00AC399A"/>
    <w:rsid w:val="00AC6757"/>
    <w:rsid w:val="00AC77F9"/>
    <w:rsid w:val="00AC7B3C"/>
    <w:rsid w:val="00AD08FD"/>
    <w:rsid w:val="00AD0A0F"/>
    <w:rsid w:val="00AD123C"/>
    <w:rsid w:val="00AD3263"/>
    <w:rsid w:val="00AD3C42"/>
    <w:rsid w:val="00AD3F6B"/>
    <w:rsid w:val="00AD5FCA"/>
    <w:rsid w:val="00AD658C"/>
    <w:rsid w:val="00AD6650"/>
    <w:rsid w:val="00AD692C"/>
    <w:rsid w:val="00AD738D"/>
    <w:rsid w:val="00AE0612"/>
    <w:rsid w:val="00AE0ED8"/>
    <w:rsid w:val="00AE1D62"/>
    <w:rsid w:val="00AE1E8F"/>
    <w:rsid w:val="00AE1EC0"/>
    <w:rsid w:val="00AE1EF3"/>
    <w:rsid w:val="00AE3816"/>
    <w:rsid w:val="00AE50B3"/>
    <w:rsid w:val="00AF0A33"/>
    <w:rsid w:val="00AF20DF"/>
    <w:rsid w:val="00AF274A"/>
    <w:rsid w:val="00AF34E0"/>
    <w:rsid w:val="00AF474B"/>
    <w:rsid w:val="00AF49D6"/>
    <w:rsid w:val="00AF553E"/>
    <w:rsid w:val="00AF65A0"/>
    <w:rsid w:val="00AF6BA6"/>
    <w:rsid w:val="00B00AD9"/>
    <w:rsid w:val="00B018FF"/>
    <w:rsid w:val="00B034F0"/>
    <w:rsid w:val="00B0389C"/>
    <w:rsid w:val="00B03A77"/>
    <w:rsid w:val="00B040D6"/>
    <w:rsid w:val="00B06396"/>
    <w:rsid w:val="00B0757E"/>
    <w:rsid w:val="00B076B1"/>
    <w:rsid w:val="00B1063F"/>
    <w:rsid w:val="00B107F4"/>
    <w:rsid w:val="00B10F27"/>
    <w:rsid w:val="00B110A9"/>
    <w:rsid w:val="00B12271"/>
    <w:rsid w:val="00B1228E"/>
    <w:rsid w:val="00B12535"/>
    <w:rsid w:val="00B1287C"/>
    <w:rsid w:val="00B1295A"/>
    <w:rsid w:val="00B13650"/>
    <w:rsid w:val="00B145A4"/>
    <w:rsid w:val="00B14E12"/>
    <w:rsid w:val="00B156B0"/>
    <w:rsid w:val="00B164BE"/>
    <w:rsid w:val="00B17D62"/>
    <w:rsid w:val="00B17EA8"/>
    <w:rsid w:val="00B20654"/>
    <w:rsid w:val="00B20D97"/>
    <w:rsid w:val="00B2228D"/>
    <w:rsid w:val="00B23C26"/>
    <w:rsid w:val="00B23C2F"/>
    <w:rsid w:val="00B24829"/>
    <w:rsid w:val="00B25B38"/>
    <w:rsid w:val="00B27F3F"/>
    <w:rsid w:val="00B3009F"/>
    <w:rsid w:val="00B30B12"/>
    <w:rsid w:val="00B30C77"/>
    <w:rsid w:val="00B31563"/>
    <w:rsid w:val="00B33A1B"/>
    <w:rsid w:val="00B355C6"/>
    <w:rsid w:val="00B358AD"/>
    <w:rsid w:val="00B36DE5"/>
    <w:rsid w:val="00B37069"/>
    <w:rsid w:val="00B370FE"/>
    <w:rsid w:val="00B373EF"/>
    <w:rsid w:val="00B411C3"/>
    <w:rsid w:val="00B418D5"/>
    <w:rsid w:val="00B41BF8"/>
    <w:rsid w:val="00B41EC1"/>
    <w:rsid w:val="00B42966"/>
    <w:rsid w:val="00B43056"/>
    <w:rsid w:val="00B44F11"/>
    <w:rsid w:val="00B46012"/>
    <w:rsid w:val="00B46F3C"/>
    <w:rsid w:val="00B51539"/>
    <w:rsid w:val="00B515EC"/>
    <w:rsid w:val="00B51BC1"/>
    <w:rsid w:val="00B52160"/>
    <w:rsid w:val="00B52202"/>
    <w:rsid w:val="00B53E3A"/>
    <w:rsid w:val="00B5529C"/>
    <w:rsid w:val="00B56A4E"/>
    <w:rsid w:val="00B56E4A"/>
    <w:rsid w:val="00B57281"/>
    <w:rsid w:val="00B60009"/>
    <w:rsid w:val="00B60690"/>
    <w:rsid w:val="00B608E3"/>
    <w:rsid w:val="00B6115D"/>
    <w:rsid w:val="00B61694"/>
    <w:rsid w:val="00B61E03"/>
    <w:rsid w:val="00B626F0"/>
    <w:rsid w:val="00B62A0D"/>
    <w:rsid w:val="00B62AA1"/>
    <w:rsid w:val="00B63083"/>
    <w:rsid w:val="00B630C5"/>
    <w:rsid w:val="00B632FA"/>
    <w:rsid w:val="00B649FD"/>
    <w:rsid w:val="00B64DB5"/>
    <w:rsid w:val="00B65487"/>
    <w:rsid w:val="00B65848"/>
    <w:rsid w:val="00B704CF"/>
    <w:rsid w:val="00B71C5A"/>
    <w:rsid w:val="00B7201F"/>
    <w:rsid w:val="00B74071"/>
    <w:rsid w:val="00B74670"/>
    <w:rsid w:val="00B75C3A"/>
    <w:rsid w:val="00B76E01"/>
    <w:rsid w:val="00B776D3"/>
    <w:rsid w:val="00B82011"/>
    <w:rsid w:val="00B823FF"/>
    <w:rsid w:val="00B84E5E"/>
    <w:rsid w:val="00B85F11"/>
    <w:rsid w:val="00B87998"/>
    <w:rsid w:val="00B90240"/>
    <w:rsid w:val="00B91124"/>
    <w:rsid w:val="00B91F2F"/>
    <w:rsid w:val="00B9355F"/>
    <w:rsid w:val="00B942B6"/>
    <w:rsid w:val="00B9664F"/>
    <w:rsid w:val="00B96C1C"/>
    <w:rsid w:val="00B976B1"/>
    <w:rsid w:val="00B97DB9"/>
    <w:rsid w:val="00BA046D"/>
    <w:rsid w:val="00BA06AB"/>
    <w:rsid w:val="00BA0F0C"/>
    <w:rsid w:val="00BA2DB9"/>
    <w:rsid w:val="00BA3FF9"/>
    <w:rsid w:val="00BA61E5"/>
    <w:rsid w:val="00BA6233"/>
    <w:rsid w:val="00BA6917"/>
    <w:rsid w:val="00BA6A8F"/>
    <w:rsid w:val="00BA7026"/>
    <w:rsid w:val="00BA770B"/>
    <w:rsid w:val="00BA7A80"/>
    <w:rsid w:val="00BB005D"/>
    <w:rsid w:val="00BB089E"/>
    <w:rsid w:val="00BB0906"/>
    <w:rsid w:val="00BB11E5"/>
    <w:rsid w:val="00BB24C3"/>
    <w:rsid w:val="00BB3212"/>
    <w:rsid w:val="00BB3270"/>
    <w:rsid w:val="00BB439E"/>
    <w:rsid w:val="00BB4665"/>
    <w:rsid w:val="00BB4BF0"/>
    <w:rsid w:val="00BB4C88"/>
    <w:rsid w:val="00BB62A1"/>
    <w:rsid w:val="00BC0DAB"/>
    <w:rsid w:val="00BC1247"/>
    <w:rsid w:val="00BC24B8"/>
    <w:rsid w:val="00BC4033"/>
    <w:rsid w:val="00BC4CFC"/>
    <w:rsid w:val="00BC5104"/>
    <w:rsid w:val="00BC5569"/>
    <w:rsid w:val="00BC79CA"/>
    <w:rsid w:val="00BD0CB9"/>
    <w:rsid w:val="00BD3597"/>
    <w:rsid w:val="00BD4F8F"/>
    <w:rsid w:val="00BD5B3B"/>
    <w:rsid w:val="00BD7D87"/>
    <w:rsid w:val="00BE0691"/>
    <w:rsid w:val="00BE0938"/>
    <w:rsid w:val="00BE116A"/>
    <w:rsid w:val="00BE13A0"/>
    <w:rsid w:val="00BE275F"/>
    <w:rsid w:val="00BE3417"/>
    <w:rsid w:val="00BE36EF"/>
    <w:rsid w:val="00BE3BAB"/>
    <w:rsid w:val="00BE432C"/>
    <w:rsid w:val="00BE43C5"/>
    <w:rsid w:val="00BE56BC"/>
    <w:rsid w:val="00BE5E8D"/>
    <w:rsid w:val="00BE632A"/>
    <w:rsid w:val="00BE6C1D"/>
    <w:rsid w:val="00BE7148"/>
    <w:rsid w:val="00BE76F5"/>
    <w:rsid w:val="00BE786C"/>
    <w:rsid w:val="00BF0576"/>
    <w:rsid w:val="00BF0642"/>
    <w:rsid w:val="00BF080D"/>
    <w:rsid w:val="00BF13FA"/>
    <w:rsid w:val="00BF165E"/>
    <w:rsid w:val="00BF1A4A"/>
    <w:rsid w:val="00BF1BAE"/>
    <w:rsid w:val="00BF2111"/>
    <w:rsid w:val="00BF3251"/>
    <w:rsid w:val="00BF3B5F"/>
    <w:rsid w:val="00BF4358"/>
    <w:rsid w:val="00BF4759"/>
    <w:rsid w:val="00BF7C39"/>
    <w:rsid w:val="00C000AC"/>
    <w:rsid w:val="00C001C8"/>
    <w:rsid w:val="00C00C2F"/>
    <w:rsid w:val="00C02067"/>
    <w:rsid w:val="00C027D9"/>
    <w:rsid w:val="00C02AE4"/>
    <w:rsid w:val="00C02DE9"/>
    <w:rsid w:val="00C040C2"/>
    <w:rsid w:val="00C040D8"/>
    <w:rsid w:val="00C04681"/>
    <w:rsid w:val="00C05454"/>
    <w:rsid w:val="00C061E5"/>
    <w:rsid w:val="00C104AC"/>
    <w:rsid w:val="00C10D5A"/>
    <w:rsid w:val="00C10F34"/>
    <w:rsid w:val="00C111BE"/>
    <w:rsid w:val="00C128F5"/>
    <w:rsid w:val="00C154BD"/>
    <w:rsid w:val="00C161A7"/>
    <w:rsid w:val="00C16357"/>
    <w:rsid w:val="00C1642C"/>
    <w:rsid w:val="00C16650"/>
    <w:rsid w:val="00C16689"/>
    <w:rsid w:val="00C17C55"/>
    <w:rsid w:val="00C200DA"/>
    <w:rsid w:val="00C21D92"/>
    <w:rsid w:val="00C2252F"/>
    <w:rsid w:val="00C23AB5"/>
    <w:rsid w:val="00C25408"/>
    <w:rsid w:val="00C25680"/>
    <w:rsid w:val="00C25A60"/>
    <w:rsid w:val="00C27411"/>
    <w:rsid w:val="00C27C25"/>
    <w:rsid w:val="00C30C4A"/>
    <w:rsid w:val="00C31792"/>
    <w:rsid w:val="00C31D9B"/>
    <w:rsid w:val="00C32A31"/>
    <w:rsid w:val="00C32AC4"/>
    <w:rsid w:val="00C32D23"/>
    <w:rsid w:val="00C32DDF"/>
    <w:rsid w:val="00C330B4"/>
    <w:rsid w:val="00C33528"/>
    <w:rsid w:val="00C35213"/>
    <w:rsid w:val="00C36C85"/>
    <w:rsid w:val="00C3774F"/>
    <w:rsid w:val="00C37D4C"/>
    <w:rsid w:val="00C40FF7"/>
    <w:rsid w:val="00C4171E"/>
    <w:rsid w:val="00C42444"/>
    <w:rsid w:val="00C42DE7"/>
    <w:rsid w:val="00C44512"/>
    <w:rsid w:val="00C45656"/>
    <w:rsid w:val="00C45B63"/>
    <w:rsid w:val="00C4643F"/>
    <w:rsid w:val="00C47E4F"/>
    <w:rsid w:val="00C50387"/>
    <w:rsid w:val="00C50F7C"/>
    <w:rsid w:val="00C51BA4"/>
    <w:rsid w:val="00C51EC4"/>
    <w:rsid w:val="00C52099"/>
    <w:rsid w:val="00C524B3"/>
    <w:rsid w:val="00C52D03"/>
    <w:rsid w:val="00C537E6"/>
    <w:rsid w:val="00C55313"/>
    <w:rsid w:val="00C5591E"/>
    <w:rsid w:val="00C5620D"/>
    <w:rsid w:val="00C56744"/>
    <w:rsid w:val="00C568BB"/>
    <w:rsid w:val="00C56B62"/>
    <w:rsid w:val="00C5775C"/>
    <w:rsid w:val="00C5780D"/>
    <w:rsid w:val="00C60444"/>
    <w:rsid w:val="00C61FAF"/>
    <w:rsid w:val="00C62BE8"/>
    <w:rsid w:val="00C62D27"/>
    <w:rsid w:val="00C630D3"/>
    <w:rsid w:val="00C653A4"/>
    <w:rsid w:val="00C66184"/>
    <w:rsid w:val="00C673A4"/>
    <w:rsid w:val="00C67E72"/>
    <w:rsid w:val="00C72457"/>
    <w:rsid w:val="00C72C55"/>
    <w:rsid w:val="00C74573"/>
    <w:rsid w:val="00C746CE"/>
    <w:rsid w:val="00C75E22"/>
    <w:rsid w:val="00C76376"/>
    <w:rsid w:val="00C76395"/>
    <w:rsid w:val="00C7777B"/>
    <w:rsid w:val="00C77C04"/>
    <w:rsid w:val="00C77F89"/>
    <w:rsid w:val="00C815BD"/>
    <w:rsid w:val="00C81721"/>
    <w:rsid w:val="00C81880"/>
    <w:rsid w:val="00C81B92"/>
    <w:rsid w:val="00C81F56"/>
    <w:rsid w:val="00C823DA"/>
    <w:rsid w:val="00C825C6"/>
    <w:rsid w:val="00C82E81"/>
    <w:rsid w:val="00C82F10"/>
    <w:rsid w:val="00C8312E"/>
    <w:rsid w:val="00C83BD4"/>
    <w:rsid w:val="00C844D1"/>
    <w:rsid w:val="00C84B84"/>
    <w:rsid w:val="00C853F4"/>
    <w:rsid w:val="00C85C7E"/>
    <w:rsid w:val="00C86892"/>
    <w:rsid w:val="00C873EE"/>
    <w:rsid w:val="00C901DB"/>
    <w:rsid w:val="00C90FCB"/>
    <w:rsid w:val="00C911AC"/>
    <w:rsid w:val="00C917F3"/>
    <w:rsid w:val="00C919A0"/>
    <w:rsid w:val="00C91EDE"/>
    <w:rsid w:val="00C92047"/>
    <w:rsid w:val="00C92BF5"/>
    <w:rsid w:val="00C9476D"/>
    <w:rsid w:val="00C9523C"/>
    <w:rsid w:val="00C955AC"/>
    <w:rsid w:val="00C95DDE"/>
    <w:rsid w:val="00C96C2C"/>
    <w:rsid w:val="00CA0731"/>
    <w:rsid w:val="00CA116D"/>
    <w:rsid w:val="00CA19D3"/>
    <w:rsid w:val="00CA32D6"/>
    <w:rsid w:val="00CA434E"/>
    <w:rsid w:val="00CA64D4"/>
    <w:rsid w:val="00CA65D3"/>
    <w:rsid w:val="00CA73A3"/>
    <w:rsid w:val="00CA7434"/>
    <w:rsid w:val="00CB0C73"/>
    <w:rsid w:val="00CB0D1E"/>
    <w:rsid w:val="00CB1937"/>
    <w:rsid w:val="00CB2D42"/>
    <w:rsid w:val="00CB3BFD"/>
    <w:rsid w:val="00CB3EEB"/>
    <w:rsid w:val="00CB43C9"/>
    <w:rsid w:val="00CB4732"/>
    <w:rsid w:val="00CB47B7"/>
    <w:rsid w:val="00CB4A19"/>
    <w:rsid w:val="00CB6126"/>
    <w:rsid w:val="00CB6144"/>
    <w:rsid w:val="00CB692A"/>
    <w:rsid w:val="00CB6DB0"/>
    <w:rsid w:val="00CB7F42"/>
    <w:rsid w:val="00CC0743"/>
    <w:rsid w:val="00CC0B5F"/>
    <w:rsid w:val="00CC0D80"/>
    <w:rsid w:val="00CC1190"/>
    <w:rsid w:val="00CC270E"/>
    <w:rsid w:val="00CC3071"/>
    <w:rsid w:val="00CC3442"/>
    <w:rsid w:val="00CC35F2"/>
    <w:rsid w:val="00CC53B2"/>
    <w:rsid w:val="00CC558C"/>
    <w:rsid w:val="00CC562B"/>
    <w:rsid w:val="00CC5EE8"/>
    <w:rsid w:val="00CC6715"/>
    <w:rsid w:val="00CC67BC"/>
    <w:rsid w:val="00CD1DD1"/>
    <w:rsid w:val="00CD3703"/>
    <w:rsid w:val="00CD49E9"/>
    <w:rsid w:val="00CD5C62"/>
    <w:rsid w:val="00CD60AC"/>
    <w:rsid w:val="00CD725E"/>
    <w:rsid w:val="00CD77DC"/>
    <w:rsid w:val="00CE0A99"/>
    <w:rsid w:val="00CE1598"/>
    <w:rsid w:val="00CE1640"/>
    <w:rsid w:val="00CE186B"/>
    <w:rsid w:val="00CE26AB"/>
    <w:rsid w:val="00CE3191"/>
    <w:rsid w:val="00CE46F0"/>
    <w:rsid w:val="00CE5A47"/>
    <w:rsid w:val="00CE6A9F"/>
    <w:rsid w:val="00CE6DA7"/>
    <w:rsid w:val="00CE7385"/>
    <w:rsid w:val="00CF07E1"/>
    <w:rsid w:val="00CF0FEB"/>
    <w:rsid w:val="00CF363B"/>
    <w:rsid w:val="00CF3A89"/>
    <w:rsid w:val="00CF3ED7"/>
    <w:rsid w:val="00CF5DE9"/>
    <w:rsid w:val="00CF6112"/>
    <w:rsid w:val="00CF7BE6"/>
    <w:rsid w:val="00D00117"/>
    <w:rsid w:val="00D0056E"/>
    <w:rsid w:val="00D00A4C"/>
    <w:rsid w:val="00D014BE"/>
    <w:rsid w:val="00D01F4B"/>
    <w:rsid w:val="00D03AF9"/>
    <w:rsid w:val="00D0499E"/>
    <w:rsid w:val="00D04B65"/>
    <w:rsid w:val="00D04C21"/>
    <w:rsid w:val="00D04CB6"/>
    <w:rsid w:val="00D050CC"/>
    <w:rsid w:val="00D052EB"/>
    <w:rsid w:val="00D0541E"/>
    <w:rsid w:val="00D054C7"/>
    <w:rsid w:val="00D060A5"/>
    <w:rsid w:val="00D06289"/>
    <w:rsid w:val="00D065F5"/>
    <w:rsid w:val="00D07265"/>
    <w:rsid w:val="00D10EBF"/>
    <w:rsid w:val="00D120F9"/>
    <w:rsid w:val="00D1327E"/>
    <w:rsid w:val="00D13BBF"/>
    <w:rsid w:val="00D146B1"/>
    <w:rsid w:val="00D14BEA"/>
    <w:rsid w:val="00D157EB"/>
    <w:rsid w:val="00D1604C"/>
    <w:rsid w:val="00D1609F"/>
    <w:rsid w:val="00D1719B"/>
    <w:rsid w:val="00D20382"/>
    <w:rsid w:val="00D20D65"/>
    <w:rsid w:val="00D20DB1"/>
    <w:rsid w:val="00D2128B"/>
    <w:rsid w:val="00D2228D"/>
    <w:rsid w:val="00D22CB4"/>
    <w:rsid w:val="00D23DA4"/>
    <w:rsid w:val="00D24805"/>
    <w:rsid w:val="00D2583C"/>
    <w:rsid w:val="00D25A51"/>
    <w:rsid w:val="00D25A78"/>
    <w:rsid w:val="00D25AB1"/>
    <w:rsid w:val="00D2762D"/>
    <w:rsid w:val="00D30D38"/>
    <w:rsid w:val="00D31105"/>
    <w:rsid w:val="00D3240E"/>
    <w:rsid w:val="00D32D44"/>
    <w:rsid w:val="00D3456E"/>
    <w:rsid w:val="00D34E1F"/>
    <w:rsid w:val="00D35210"/>
    <w:rsid w:val="00D35551"/>
    <w:rsid w:val="00D3670B"/>
    <w:rsid w:val="00D4167E"/>
    <w:rsid w:val="00D435F0"/>
    <w:rsid w:val="00D43AB4"/>
    <w:rsid w:val="00D43B70"/>
    <w:rsid w:val="00D43B8D"/>
    <w:rsid w:val="00D45067"/>
    <w:rsid w:val="00D451B2"/>
    <w:rsid w:val="00D452C8"/>
    <w:rsid w:val="00D453F5"/>
    <w:rsid w:val="00D45407"/>
    <w:rsid w:val="00D45580"/>
    <w:rsid w:val="00D4570D"/>
    <w:rsid w:val="00D4678E"/>
    <w:rsid w:val="00D4692B"/>
    <w:rsid w:val="00D47868"/>
    <w:rsid w:val="00D503BE"/>
    <w:rsid w:val="00D50BCB"/>
    <w:rsid w:val="00D5192F"/>
    <w:rsid w:val="00D53881"/>
    <w:rsid w:val="00D54EAF"/>
    <w:rsid w:val="00D55343"/>
    <w:rsid w:val="00D55E64"/>
    <w:rsid w:val="00D563FD"/>
    <w:rsid w:val="00D56F95"/>
    <w:rsid w:val="00D56FB2"/>
    <w:rsid w:val="00D57646"/>
    <w:rsid w:val="00D57954"/>
    <w:rsid w:val="00D57DED"/>
    <w:rsid w:val="00D607A0"/>
    <w:rsid w:val="00D61877"/>
    <w:rsid w:val="00D62D05"/>
    <w:rsid w:val="00D63AC8"/>
    <w:rsid w:val="00D63B7B"/>
    <w:rsid w:val="00D644BB"/>
    <w:rsid w:val="00D64FDF"/>
    <w:rsid w:val="00D66E40"/>
    <w:rsid w:val="00D67C1B"/>
    <w:rsid w:val="00D70061"/>
    <w:rsid w:val="00D718E1"/>
    <w:rsid w:val="00D71D73"/>
    <w:rsid w:val="00D7272B"/>
    <w:rsid w:val="00D72AD1"/>
    <w:rsid w:val="00D74F2F"/>
    <w:rsid w:val="00D7536C"/>
    <w:rsid w:val="00D76E0E"/>
    <w:rsid w:val="00D76F05"/>
    <w:rsid w:val="00D76FD6"/>
    <w:rsid w:val="00D80961"/>
    <w:rsid w:val="00D80CCE"/>
    <w:rsid w:val="00D81C84"/>
    <w:rsid w:val="00D82348"/>
    <w:rsid w:val="00D8306C"/>
    <w:rsid w:val="00D83204"/>
    <w:rsid w:val="00D83630"/>
    <w:rsid w:val="00D83F3B"/>
    <w:rsid w:val="00D8652A"/>
    <w:rsid w:val="00D86E40"/>
    <w:rsid w:val="00D90275"/>
    <w:rsid w:val="00D90A46"/>
    <w:rsid w:val="00D90CAC"/>
    <w:rsid w:val="00D90DE3"/>
    <w:rsid w:val="00D91377"/>
    <w:rsid w:val="00D9243F"/>
    <w:rsid w:val="00D92D6C"/>
    <w:rsid w:val="00D92E88"/>
    <w:rsid w:val="00D93534"/>
    <w:rsid w:val="00D949EF"/>
    <w:rsid w:val="00D95EBB"/>
    <w:rsid w:val="00D963EF"/>
    <w:rsid w:val="00D9681C"/>
    <w:rsid w:val="00DA0455"/>
    <w:rsid w:val="00DA0457"/>
    <w:rsid w:val="00DA2CEB"/>
    <w:rsid w:val="00DA3BCD"/>
    <w:rsid w:val="00DA3FF9"/>
    <w:rsid w:val="00DA43CE"/>
    <w:rsid w:val="00DA54C0"/>
    <w:rsid w:val="00DA5729"/>
    <w:rsid w:val="00DA700C"/>
    <w:rsid w:val="00DA7C16"/>
    <w:rsid w:val="00DB058B"/>
    <w:rsid w:val="00DB1D08"/>
    <w:rsid w:val="00DB24B1"/>
    <w:rsid w:val="00DB3E41"/>
    <w:rsid w:val="00DB5CFC"/>
    <w:rsid w:val="00DB739E"/>
    <w:rsid w:val="00DB7DCC"/>
    <w:rsid w:val="00DC0153"/>
    <w:rsid w:val="00DC049B"/>
    <w:rsid w:val="00DC09D5"/>
    <w:rsid w:val="00DC16EF"/>
    <w:rsid w:val="00DC1E95"/>
    <w:rsid w:val="00DC2097"/>
    <w:rsid w:val="00DC3077"/>
    <w:rsid w:val="00DC3460"/>
    <w:rsid w:val="00DC5DF1"/>
    <w:rsid w:val="00DC61E5"/>
    <w:rsid w:val="00DC651C"/>
    <w:rsid w:val="00DC6B74"/>
    <w:rsid w:val="00DC7BD6"/>
    <w:rsid w:val="00DC7D1F"/>
    <w:rsid w:val="00DD1960"/>
    <w:rsid w:val="00DD27E8"/>
    <w:rsid w:val="00DD2966"/>
    <w:rsid w:val="00DD401C"/>
    <w:rsid w:val="00DD4614"/>
    <w:rsid w:val="00DD4D9A"/>
    <w:rsid w:val="00DD5559"/>
    <w:rsid w:val="00DD608C"/>
    <w:rsid w:val="00DD650A"/>
    <w:rsid w:val="00DE056F"/>
    <w:rsid w:val="00DE0769"/>
    <w:rsid w:val="00DE0A2C"/>
    <w:rsid w:val="00DE1C65"/>
    <w:rsid w:val="00DE1D3E"/>
    <w:rsid w:val="00DE1E08"/>
    <w:rsid w:val="00DE25D7"/>
    <w:rsid w:val="00DE3B25"/>
    <w:rsid w:val="00DE46F9"/>
    <w:rsid w:val="00DE5649"/>
    <w:rsid w:val="00DE58B0"/>
    <w:rsid w:val="00DE5936"/>
    <w:rsid w:val="00DE5A70"/>
    <w:rsid w:val="00DE5CA9"/>
    <w:rsid w:val="00DE6EFD"/>
    <w:rsid w:val="00DE7ACE"/>
    <w:rsid w:val="00DE7E92"/>
    <w:rsid w:val="00DF08B3"/>
    <w:rsid w:val="00DF0F53"/>
    <w:rsid w:val="00DF1F30"/>
    <w:rsid w:val="00DF1FF8"/>
    <w:rsid w:val="00DF4DDB"/>
    <w:rsid w:val="00DF62CC"/>
    <w:rsid w:val="00DF6BC6"/>
    <w:rsid w:val="00DF72AF"/>
    <w:rsid w:val="00DF7F9F"/>
    <w:rsid w:val="00E02427"/>
    <w:rsid w:val="00E03329"/>
    <w:rsid w:val="00E03AE1"/>
    <w:rsid w:val="00E04AEA"/>
    <w:rsid w:val="00E05175"/>
    <w:rsid w:val="00E06B5F"/>
    <w:rsid w:val="00E0797B"/>
    <w:rsid w:val="00E1044A"/>
    <w:rsid w:val="00E10514"/>
    <w:rsid w:val="00E11A58"/>
    <w:rsid w:val="00E13B9A"/>
    <w:rsid w:val="00E1787A"/>
    <w:rsid w:val="00E20A41"/>
    <w:rsid w:val="00E222BA"/>
    <w:rsid w:val="00E234B6"/>
    <w:rsid w:val="00E24BA2"/>
    <w:rsid w:val="00E25017"/>
    <w:rsid w:val="00E25C3C"/>
    <w:rsid w:val="00E26D57"/>
    <w:rsid w:val="00E26FB2"/>
    <w:rsid w:val="00E30045"/>
    <w:rsid w:val="00E30537"/>
    <w:rsid w:val="00E31129"/>
    <w:rsid w:val="00E31B64"/>
    <w:rsid w:val="00E32174"/>
    <w:rsid w:val="00E32682"/>
    <w:rsid w:val="00E3270B"/>
    <w:rsid w:val="00E32F0C"/>
    <w:rsid w:val="00E33D7E"/>
    <w:rsid w:val="00E36621"/>
    <w:rsid w:val="00E378F0"/>
    <w:rsid w:val="00E37903"/>
    <w:rsid w:val="00E379EB"/>
    <w:rsid w:val="00E37D05"/>
    <w:rsid w:val="00E409CB"/>
    <w:rsid w:val="00E4161F"/>
    <w:rsid w:val="00E419E0"/>
    <w:rsid w:val="00E41C6F"/>
    <w:rsid w:val="00E42077"/>
    <w:rsid w:val="00E42134"/>
    <w:rsid w:val="00E449FF"/>
    <w:rsid w:val="00E46B64"/>
    <w:rsid w:val="00E47535"/>
    <w:rsid w:val="00E4764F"/>
    <w:rsid w:val="00E477CB"/>
    <w:rsid w:val="00E47EC3"/>
    <w:rsid w:val="00E50DE2"/>
    <w:rsid w:val="00E512C7"/>
    <w:rsid w:val="00E52562"/>
    <w:rsid w:val="00E526EF"/>
    <w:rsid w:val="00E5375F"/>
    <w:rsid w:val="00E54AD4"/>
    <w:rsid w:val="00E5686E"/>
    <w:rsid w:val="00E57243"/>
    <w:rsid w:val="00E61465"/>
    <w:rsid w:val="00E62462"/>
    <w:rsid w:val="00E62B0E"/>
    <w:rsid w:val="00E62CA4"/>
    <w:rsid w:val="00E66D97"/>
    <w:rsid w:val="00E675F3"/>
    <w:rsid w:val="00E67890"/>
    <w:rsid w:val="00E707C2"/>
    <w:rsid w:val="00E71BB5"/>
    <w:rsid w:val="00E72B3D"/>
    <w:rsid w:val="00E734E4"/>
    <w:rsid w:val="00E73DF9"/>
    <w:rsid w:val="00E74819"/>
    <w:rsid w:val="00E74DBD"/>
    <w:rsid w:val="00E74FF5"/>
    <w:rsid w:val="00E75595"/>
    <w:rsid w:val="00E75AC4"/>
    <w:rsid w:val="00E76294"/>
    <w:rsid w:val="00E80A54"/>
    <w:rsid w:val="00E80A5B"/>
    <w:rsid w:val="00E829E9"/>
    <w:rsid w:val="00E84672"/>
    <w:rsid w:val="00E84A39"/>
    <w:rsid w:val="00E85BD6"/>
    <w:rsid w:val="00E867FA"/>
    <w:rsid w:val="00E86DDB"/>
    <w:rsid w:val="00E903B5"/>
    <w:rsid w:val="00E9334D"/>
    <w:rsid w:val="00E9464C"/>
    <w:rsid w:val="00E95A11"/>
    <w:rsid w:val="00E9709C"/>
    <w:rsid w:val="00E970F9"/>
    <w:rsid w:val="00E978F4"/>
    <w:rsid w:val="00E97F62"/>
    <w:rsid w:val="00EA0263"/>
    <w:rsid w:val="00EA2B14"/>
    <w:rsid w:val="00EA2EBD"/>
    <w:rsid w:val="00EA369D"/>
    <w:rsid w:val="00EA42C7"/>
    <w:rsid w:val="00EA42CB"/>
    <w:rsid w:val="00EA511E"/>
    <w:rsid w:val="00EA52AC"/>
    <w:rsid w:val="00EB0102"/>
    <w:rsid w:val="00EB262E"/>
    <w:rsid w:val="00EB2693"/>
    <w:rsid w:val="00EB386B"/>
    <w:rsid w:val="00EB482E"/>
    <w:rsid w:val="00EB59F6"/>
    <w:rsid w:val="00EB6DDC"/>
    <w:rsid w:val="00EB7DBA"/>
    <w:rsid w:val="00EC0757"/>
    <w:rsid w:val="00EC33F2"/>
    <w:rsid w:val="00EC4A78"/>
    <w:rsid w:val="00EC52A5"/>
    <w:rsid w:val="00EC6AE6"/>
    <w:rsid w:val="00EC75FC"/>
    <w:rsid w:val="00ED00DC"/>
    <w:rsid w:val="00ED0BEF"/>
    <w:rsid w:val="00ED3BB3"/>
    <w:rsid w:val="00ED41DB"/>
    <w:rsid w:val="00ED47E3"/>
    <w:rsid w:val="00ED4E4A"/>
    <w:rsid w:val="00ED6AD0"/>
    <w:rsid w:val="00ED79BC"/>
    <w:rsid w:val="00ED7EDF"/>
    <w:rsid w:val="00EE0555"/>
    <w:rsid w:val="00EE198E"/>
    <w:rsid w:val="00EE1ABC"/>
    <w:rsid w:val="00EE267A"/>
    <w:rsid w:val="00EE2AA9"/>
    <w:rsid w:val="00EE2AE1"/>
    <w:rsid w:val="00EE2BA6"/>
    <w:rsid w:val="00EE30DC"/>
    <w:rsid w:val="00EE36AA"/>
    <w:rsid w:val="00EE54E1"/>
    <w:rsid w:val="00EE6EE9"/>
    <w:rsid w:val="00EE7742"/>
    <w:rsid w:val="00EE79DE"/>
    <w:rsid w:val="00EE7AC2"/>
    <w:rsid w:val="00EF17BE"/>
    <w:rsid w:val="00EF2313"/>
    <w:rsid w:val="00EF3A99"/>
    <w:rsid w:val="00EF42CA"/>
    <w:rsid w:val="00EF4B86"/>
    <w:rsid w:val="00EF5382"/>
    <w:rsid w:val="00EF7209"/>
    <w:rsid w:val="00EF7A04"/>
    <w:rsid w:val="00F00AE2"/>
    <w:rsid w:val="00F00E5E"/>
    <w:rsid w:val="00F01547"/>
    <w:rsid w:val="00F02D72"/>
    <w:rsid w:val="00F02E7B"/>
    <w:rsid w:val="00F02E93"/>
    <w:rsid w:val="00F03003"/>
    <w:rsid w:val="00F03CC4"/>
    <w:rsid w:val="00F0598A"/>
    <w:rsid w:val="00F063BC"/>
    <w:rsid w:val="00F069F6"/>
    <w:rsid w:val="00F10E77"/>
    <w:rsid w:val="00F14B9F"/>
    <w:rsid w:val="00F1553C"/>
    <w:rsid w:val="00F15EAF"/>
    <w:rsid w:val="00F2220E"/>
    <w:rsid w:val="00F23FFE"/>
    <w:rsid w:val="00F2435E"/>
    <w:rsid w:val="00F2530B"/>
    <w:rsid w:val="00F25359"/>
    <w:rsid w:val="00F262E1"/>
    <w:rsid w:val="00F2657C"/>
    <w:rsid w:val="00F278E3"/>
    <w:rsid w:val="00F27AE7"/>
    <w:rsid w:val="00F27CC0"/>
    <w:rsid w:val="00F30226"/>
    <w:rsid w:val="00F30FDE"/>
    <w:rsid w:val="00F316C4"/>
    <w:rsid w:val="00F32D05"/>
    <w:rsid w:val="00F35AC6"/>
    <w:rsid w:val="00F36053"/>
    <w:rsid w:val="00F36357"/>
    <w:rsid w:val="00F365B5"/>
    <w:rsid w:val="00F4080E"/>
    <w:rsid w:val="00F41049"/>
    <w:rsid w:val="00F413A9"/>
    <w:rsid w:val="00F41A32"/>
    <w:rsid w:val="00F420B9"/>
    <w:rsid w:val="00F42D99"/>
    <w:rsid w:val="00F43FEB"/>
    <w:rsid w:val="00F44606"/>
    <w:rsid w:val="00F446D9"/>
    <w:rsid w:val="00F45187"/>
    <w:rsid w:val="00F45910"/>
    <w:rsid w:val="00F45BF3"/>
    <w:rsid w:val="00F466B0"/>
    <w:rsid w:val="00F47030"/>
    <w:rsid w:val="00F50A0E"/>
    <w:rsid w:val="00F50A96"/>
    <w:rsid w:val="00F51247"/>
    <w:rsid w:val="00F519E3"/>
    <w:rsid w:val="00F52E10"/>
    <w:rsid w:val="00F53357"/>
    <w:rsid w:val="00F5457C"/>
    <w:rsid w:val="00F545EC"/>
    <w:rsid w:val="00F5501B"/>
    <w:rsid w:val="00F554D8"/>
    <w:rsid w:val="00F55A39"/>
    <w:rsid w:val="00F560CE"/>
    <w:rsid w:val="00F565FD"/>
    <w:rsid w:val="00F567EB"/>
    <w:rsid w:val="00F57C77"/>
    <w:rsid w:val="00F60969"/>
    <w:rsid w:val="00F64664"/>
    <w:rsid w:val="00F649AD"/>
    <w:rsid w:val="00F658CC"/>
    <w:rsid w:val="00F66C4B"/>
    <w:rsid w:val="00F670FA"/>
    <w:rsid w:val="00F671FD"/>
    <w:rsid w:val="00F6759C"/>
    <w:rsid w:val="00F70907"/>
    <w:rsid w:val="00F71638"/>
    <w:rsid w:val="00F71867"/>
    <w:rsid w:val="00F71BA9"/>
    <w:rsid w:val="00F71F98"/>
    <w:rsid w:val="00F72461"/>
    <w:rsid w:val="00F72A7F"/>
    <w:rsid w:val="00F72D84"/>
    <w:rsid w:val="00F75007"/>
    <w:rsid w:val="00F757A1"/>
    <w:rsid w:val="00F763B2"/>
    <w:rsid w:val="00F77090"/>
    <w:rsid w:val="00F775B5"/>
    <w:rsid w:val="00F77948"/>
    <w:rsid w:val="00F80390"/>
    <w:rsid w:val="00F810D5"/>
    <w:rsid w:val="00F83E7B"/>
    <w:rsid w:val="00F86B79"/>
    <w:rsid w:val="00F87E1A"/>
    <w:rsid w:val="00F90027"/>
    <w:rsid w:val="00F91237"/>
    <w:rsid w:val="00F927EB"/>
    <w:rsid w:val="00F9286D"/>
    <w:rsid w:val="00F92ABC"/>
    <w:rsid w:val="00F93885"/>
    <w:rsid w:val="00F946D5"/>
    <w:rsid w:val="00F94AB4"/>
    <w:rsid w:val="00F95065"/>
    <w:rsid w:val="00F953A5"/>
    <w:rsid w:val="00F9622A"/>
    <w:rsid w:val="00F96444"/>
    <w:rsid w:val="00F966CE"/>
    <w:rsid w:val="00F9794B"/>
    <w:rsid w:val="00FA09ED"/>
    <w:rsid w:val="00FA30B4"/>
    <w:rsid w:val="00FA3597"/>
    <w:rsid w:val="00FA3875"/>
    <w:rsid w:val="00FA3BC8"/>
    <w:rsid w:val="00FA4A9A"/>
    <w:rsid w:val="00FA4F6C"/>
    <w:rsid w:val="00FA5120"/>
    <w:rsid w:val="00FA5A70"/>
    <w:rsid w:val="00FA6C2F"/>
    <w:rsid w:val="00FA795A"/>
    <w:rsid w:val="00FB08F1"/>
    <w:rsid w:val="00FB116D"/>
    <w:rsid w:val="00FB1235"/>
    <w:rsid w:val="00FB12FC"/>
    <w:rsid w:val="00FB1562"/>
    <w:rsid w:val="00FB1797"/>
    <w:rsid w:val="00FB1AD6"/>
    <w:rsid w:val="00FB1B45"/>
    <w:rsid w:val="00FB2BD2"/>
    <w:rsid w:val="00FB3AAC"/>
    <w:rsid w:val="00FB4C63"/>
    <w:rsid w:val="00FB548A"/>
    <w:rsid w:val="00FB5514"/>
    <w:rsid w:val="00FB719E"/>
    <w:rsid w:val="00FB77DB"/>
    <w:rsid w:val="00FC0542"/>
    <w:rsid w:val="00FC0B13"/>
    <w:rsid w:val="00FC1568"/>
    <w:rsid w:val="00FC4283"/>
    <w:rsid w:val="00FC4A38"/>
    <w:rsid w:val="00FC4A9B"/>
    <w:rsid w:val="00FC57C6"/>
    <w:rsid w:val="00FC5A38"/>
    <w:rsid w:val="00FD1060"/>
    <w:rsid w:val="00FD1440"/>
    <w:rsid w:val="00FD24ED"/>
    <w:rsid w:val="00FD4D29"/>
    <w:rsid w:val="00FD5820"/>
    <w:rsid w:val="00FD6FD6"/>
    <w:rsid w:val="00FE01A7"/>
    <w:rsid w:val="00FE07D1"/>
    <w:rsid w:val="00FE0B86"/>
    <w:rsid w:val="00FE2DB8"/>
    <w:rsid w:val="00FE2E42"/>
    <w:rsid w:val="00FE32BA"/>
    <w:rsid w:val="00FE42DB"/>
    <w:rsid w:val="00FE5A8C"/>
    <w:rsid w:val="00FE7568"/>
    <w:rsid w:val="00FE7695"/>
    <w:rsid w:val="00FE7ABD"/>
    <w:rsid w:val="00FE7B13"/>
    <w:rsid w:val="00FF0324"/>
    <w:rsid w:val="00FF17A7"/>
    <w:rsid w:val="00FF254E"/>
    <w:rsid w:val="00FF3CC4"/>
    <w:rsid w:val="00FF429B"/>
    <w:rsid w:val="00FF48E9"/>
    <w:rsid w:val="00FF4AC5"/>
    <w:rsid w:val="00FF4B85"/>
    <w:rsid w:val="00FF500E"/>
    <w:rsid w:val="00FF50B9"/>
    <w:rsid w:val="00FF5526"/>
    <w:rsid w:val="00FF5862"/>
    <w:rsid w:val="00FF7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BF433F0"/>
  <w15:docId w15:val="{721012FB-4046-4EFF-B5E3-23F1F2AC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D34"/>
    <w:pPr>
      <w:spacing w:after="160" w:line="256" w:lineRule="auto"/>
    </w:pPr>
    <w:rPr>
      <w:rFonts w:ascii="Arial" w:hAnsi="Arial"/>
    </w:rPr>
  </w:style>
  <w:style w:type="paragraph" w:styleId="Heading1">
    <w:name w:val="heading 1"/>
    <w:basedOn w:val="Headingcover"/>
    <w:next w:val="Normal"/>
    <w:link w:val="Heading1Char"/>
    <w:uiPriority w:val="9"/>
    <w:qFormat/>
    <w:rsid w:val="00FF429B"/>
    <w:pPr>
      <w:spacing w:before="240" w:line="257" w:lineRule="auto"/>
      <w:outlineLvl w:val="0"/>
    </w:pPr>
    <w:rPr>
      <w:color w:val="6A2875"/>
      <w:sz w:val="40"/>
      <w:szCs w:val="40"/>
    </w:rPr>
  </w:style>
  <w:style w:type="paragraph" w:styleId="Heading2">
    <w:name w:val="heading 2"/>
    <w:basedOn w:val="Normal"/>
    <w:next w:val="Normal"/>
    <w:link w:val="Heading2Char"/>
    <w:uiPriority w:val="9"/>
    <w:unhideWhenUsed/>
    <w:qFormat/>
    <w:rsid w:val="00E57243"/>
    <w:pPr>
      <w:spacing w:before="200" w:after="240"/>
      <w:outlineLvl w:val="1"/>
    </w:pPr>
    <w:rPr>
      <w:rFonts w:eastAsiaTheme="majorEastAsia" w:cstheme="majorBidi"/>
      <w:b/>
      <w:bCs/>
      <w:color w:val="6A2875"/>
      <w:sz w:val="28"/>
      <w:szCs w:val="28"/>
    </w:rPr>
  </w:style>
  <w:style w:type="paragraph" w:styleId="Heading3">
    <w:name w:val="heading 3"/>
    <w:basedOn w:val="Normal"/>
    <w:next w:val="Normal"/>
    <w:link w:val="Heading3Char"/>
    <w:uiPriority w:val="9"/>
    <w:unhideWhenUsed/>
    <w:qFormat/>
    <w:rsid w:val="00E57243"/>
    <w:pPr>
      <w:ind w:left="284"/>
      <w:outlineLvl w:val="2"/>
    </w:pPr>
    <w:rPr>
      <w:color w:val="6A2875"/>
      <w:sz w:val="24"/>
      <w:szCs w:val="24"/>
    </w:rPr>
  </w:style>
  <w:style w:type="paragraph" w:styleId="Heading4">
    <w:name w:val="heading 4"/>
    <w:basedOn w:val="Normal"/>
    <w:next w:val="Normal"/>
    <w:link w:val="Heading4Char"/>
    <w:uiPriority w:val="9"/>
    <w:unhideWhenUsed/>
    <w:qFormat/>
    <w:rsid w:val="00E57243"/>
    <w:pPr>
      <w:spacing w:after="120"/>
      <w:ind w:left="1080"/>
      <w:outlineLvl w:val="3"/>
    </w:pPr>
    <w:rPr>
      <w:color w:val="000000" w:themeColor="text1"/>
      <w:sz w:val="24"/>
    </w:rPr>
  </w:style>
  <w:style w:type="paragraph" w:styleId="Heading5">
    <w:name w:val="heading 5"/>
    <w:basedOn w:val="Normal"/>
    <w:next w:val="Normal"/>
    <w:link w:val="Heading5Char"/>
    <w:uiPriority w:val="9"/>
    <w:unhideWhenUsed/>
    <w:qFormat/>
    <w:rsid w:val="0085656E"/>
    <w:pPr>
      <w:spacing w:after="0" w:line="257" w:lineRule="auto"/>
      <w:outlineLvl w:val="4"/>
    </w:pPr>
    <w:rPr>
      <w:b/>
      <w:color w:val="6B2976"/>
      <w:sz w:val="24"/>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B"/>
    <w:rPr>
      <w:rFonts w:ascii="Arial" w:hAnsi="Arial" w:cs="Arial"/>
      <w:b/>
      <w:color w:val="6A2875"/>
      <w:sz w:val="40"/>
      <w:szCs w:val="40"/>
    </w:rPr>
  </w:style>
  <w:style w:type="character" w:customStyle="1" w:styleId="Heading2Char">
    <w:name w:val="Heading 2 Char"/>
    <w:basedOn w:val="DefaultParagraphFont"/>
    <w:link w:val="Heading2"/>
    <w:uiPriority w:val="9"/>
    <w:rsid w:val="00E57243"/>
    <w:rPr>
      <w:rFonts w:ascii="Arial" w:eastAsiaTheme="majorEastAsia" w:hAnsi="Arial" w:cstheme="majorBidi"/>
      <w:b/>
      <w:bCs/>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E57243"/>
    <w:rPr>
      <w:rFonts w:ascii="Arial" w:hAnsi="Arial"/>
      <w:color w:val="6A2875"/>
      <w:sz w:val="24"/>
      <w:szCs w:val="24"/>
    </w:rPr>
  </w:style>
  <w:style w:type="character" w:customStyle="1" w:styleId="Heading4Char">
    <w:name w:val="Heading 4 Char"/>
    <w:basedOn w:val="DefaultParagraphFont"/>
    <w:link w:val="Heading4"/>
    <w:uiPriority w:val="9"/>
    <w:rsid w:val="00E57243"/>
    <w:rPr>
      <w:rFonts w:ascii="Arial" w:hAnsi="Arial"/>
      <w:color w:val="000000" w:themeColor="text1"/>
      <w:sz w:val="24"/>
    </w:rPr>
  </w:style>
  <w:style w:type="character" w:customStyle="1" w:styleId="Heading5Char">
    <w:name w:val="Heading 5 Char"/>
    <w:basedOn w:val="DefaultParagraphFont"/>
    <w:link w:val="Heading5"/>
    <w:uiPriority w:val="9"/>
    <w:rsid w:val="0085656E"/>
    <w:rPr>
      <w:b/>
      <w:color w:val="6B2976"/>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0102B7"/>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Normal"/>
    <w:autoRedefine/>
    <w:uiPriority w:val="99"/>
    <w:unhideWhenUsed/>
    <w:qFormat/>
    <w:rsid w:val="00BE632A"/>
    <w:rPr>
      <w:rFonts w:cs="Arial"/>
      <w:spacing w:val="-3"/>
      <w:kern w:val="1"/>
      <w:szCs w:val="20"/>
      <w:lang w:val="en-GB"/>
    </w:rPr>
  </w:style>
  <w:style w:type="paragraph" w:styleId="TOC1">
    <w:name w:val="toc 1"/>
    <w:basedOn w:val="Normal"/>
    <w:next w:val="Normal"/>
    <w:autoRedefine/>
    <w:uiPriority w:val="39"/>
    <w:unhideWhenUsed/>
    <w:qFormat/>
    <w:rsid w:val="00C330B4"/>
    <w:pPr>
      <w:spacing w:after="100"/>
    </w:pPr>
  </w:style>
  <w:style w:type="paragraph" w:styleId="TOC2">
    <w:name w:val="toc 2"/>
    <w:basedOn w:val="Normal"/>
    <w:next w:val="Normal"/>
    <w:autoRedefine/>
    <w:uiPriority w:val="39"/>
    <w:unhideWhenUsed/>
    <w:qFormat/>
    <w:rsid w:val="0052370E"/>
    <w:pPr>
      <w:spacing w:after="100"/>
      <w:ind w:left="220"/>
    </w:pPr>
  </w:style>
  <w:style w:type="paragraph" w:styleId="TOC3">
    <w:name w:val="toc 3"/>
    <w:basedOn w:val="Normal"/>
    <w:next w:val="Normal"/>
    <w:autoRedefine/>
    <w:uiPriority w:val="39"/>
    <w:unhideWhenUsed/>
    <w:qFormat/>
    <w:rsid w:val="0052370E"/>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unhideWhenUsed/>
    <w:rsid w:val="00D47868"/>
    <w:pPr>
      <w:spacing w:after="0" w:line="240" w:lineRule="auto"/>
    </w:pPr>
    <w:rPr>
      <w:sz w:val="20"/>
      <w:szCs w:val="20"/>
    </w:rPr>
  </w:style>
  <w:style w:type="character" w:customStyle="1" w:styleId="FootnoteTextChar">
    <w:name w:val="Footnote Text Char"/>
    <w:basedOn w:val="DefaultParagraphFont"/>
    <w:link w:val="FootnoteText"/>
    <w:uiPriority w:val="99"/>
    <w:rsid w:val="00D47868"/>
    <w:rPr>
      <w:sz w:val="20"/>
      <w:szCs w:val="20"/>
    </w:rPr>
  </w:style>
  <w:style w:type="character" w:styleId="FootnoteReference">
    <w:name w:val="footnote reference"/>
    <w:basedOn w:val="DefaultParagraphFont"/>
    <w:uiPriority w:val="99"/>
    <w:unhideWhenUsed/>
    <w:rsid w:val="00D47868"/>
    <w:rPr>
      <w:vertAlign w:val="superscript"/>
    </w:rPr>
  </w:style>
  <w:style w:type="table" w:styleId="TableGrid">
    <w:name w:val="Table Grid"/>
    <w:basedOn w:val="TableNormal"/>
    <w:uiPriority w:val="39"/>
    <w:rsid w:val="0070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033"/>
    <w:rPr>
      <w:color w:val="800080" w:themeColor="followedHyperlink"/>
      <w:u w:val="single"/>
    </w:rPr>
  </w:style>
  <w:style w:type="table" w:customStyle="1" w:styleId="TableGrid1">
    <w:name w:val="Table Grid1"/>
    <w:basedOn w:val="TableNormal"/>
    <w:next w:val="TableGrid"/>
    <w:uiPriority w:val="39"/>
    <w:rsid w:val="00E8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PointsStyle">
    <w:name w:val="1. Number Points Style"/>
    <w:basedOn w:val="Normal"/>
    <w:link w:val="1NumberPointsStyleChar"/>
    <w:qFormat/>
    <w:rsid w:val="0079278F"/>
    <w:pPr>
      <w:spacing w:after="200"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79278F"/>
    <w:rPr>
      <w:rFonts w:ascii="Calibri" w:eastAsia="Times New Roman" w:hAnsi="Calibri" w:cs="Times New Roman"/>
      <w:sz w:val="24"/>
      <w:szCs w:val="20"/>
      <w:lang w:eastAsia="en-AU"/>
    </w:rPr>
  </w:style>
  <w:style w:type="table" w:customStyle="1" w:styleId="TableGrid2">
    <w:name w:val="Table Grid2"/>
    <w:basedOn w:val="TableNormal"/>
    <w:next w:val="TableGrid"/>
    <w:uiPriority w:val="39"/>
    <w:rsid w:val="00CF3A89"/>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3E69"/>
  </w:style>
  <w:style w:type="table" w:customStyle="1" w:styleId="LightShading-Accent41">
    <w:name w:val="Light Shading - Accent 41"/>
    <w:basedOn w:val="TableNormal"/>
    <w:next w:val="LightShading-Accent4"/>
    <w:uiPriority w:val="60"/>
    <w:rsid w:val="001C3E69"/>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3">
    <w:name w:val="Table Grid3"/>
    <w:basedOn w:val="TableNormal"/>
    <w:next w:val="TableGrid"/>
    <w:uiPriority w:val="39"/>
    <w:rsid w:val="001C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E69"/>
    <w:rPr>
      <w:sz w:val="16"/>
      <w:szCs w:val="16"/>
    </w:rPr>
  </w:style>
  <w:style w:type="paragraph" w:customStyle="1" w:styleId="CommentText1">
    <w:name w:val="Comment Text1"/>
    <w:basedOn w:val="Normal"/>
    <w:next w:val="CommentText"/>
    <w:link w:val="CommentTextChar"/>
    <w:uiPriority w:val="99"/>
    <w:semiHidden/>
    <w:unhideWhenUsed/>
    <w:rsid w:val="001C3E69"/>
    <w:pPr>
      <w:spacing w:line="240" w:lineRule="auto"/>
    </w:pPr>
    <w:rPr>
      <w:sz w:val="20"/>
      <w:szCs w:val="20"/>
    </w:rPr>
  </w:style>
  <w:style w:type="character" w:customStyle="1" w:styleId="CommentTextChar">
    <w:name w:val="Comment Text Char"/>
    <w:basedOn w:val="DefaultParagraphFont"/>
    <w:link w:val="CommentText1"/>
    <w:uiPriority w:val="99"/>
    <w:semiHidden/>
    <w:rsid w:val="001C3E69"/>
    <w:rPr>
      <w:sz w:val="20"/>
      <w:szCs w:val="20"/>
    </w:rPr>
  </w:style>
  <w:style w:type="paragraph" w:styleId="NormalWeb">
    <w:name w:val="Normal (Web)"/>
    <w:basedOn w:val="Normal"/>
    <w:uiPriority w:val="99"/>
    <w:unhideWhenUsed/>
    <w:rsid w:val="001C3E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ubject1">
    <w:name w:val="Comment Subject1"/>
    <w:basedOn w:val="CommentText"/>
    <w:next w:val="CommentText"/>
    <w:uiPriority w:val="99"/>
    <w:semiHidden/>
    <w:unhideWhenUsed/>
    <w:rsid w:val="001C3E69"/>
    <w:pPr>
      <w:spacing w:after="200"/>
    </w:pPr>
    <w:rPr>
      <w:rFonts w:eastAsia="Times New Roman"/>
      <w:b/>
      <w:bCs/>
      <w:lang w:val="en-US" w:eastAsia="ja-JP"/>
    </w:rPr>
  </w:style>
  <w:style w:type="character" w:customStyle="1" w:styleId="CommentSubjectChar">
    <w:name w:val="Comment Subject Char"/>
    <w:basedOn w:val="CommentTextChar"/>
    <w:link w:val="CommentSubject"/>
    <w:uiPriority w:val="99"/>
    <w:semiHidden/>
    <w:rsid w:val="001C3E69"/>
    <w:rPr>
      <w:rFonts w:ascii="Arial" w:eastAsia="Times New Roman" w:hAnsi="Arial"/>
      <w:b/>
      <w:bCs/>
      <w:sz w:val="20"/>
      <w:szCs w:val="20"/>
      <w:lang w:val="en-US" w:eastAsia="ja-JP"/>
    </w:rPr>
  </w:style>
  <w:style w:type="paragraph" w:customStyle="1" w:styleId="Revision1">
    <w:name w:val="Revision1"/>
    <w:next w:val="Revision"/>
    <w:hidden/>
    <w:uiPriority w:val="99"/>
    <w:semiHidden/>
    <w:rsid w:val="001C3E69"/>
    <w:pPr>
      <w:spacing w:after="0" w:line="240" w:lineRule="auto"/>
    </w:pPr>
    <w:rPr>
      <w:rFonts w:ascii="Arial" w:eastAsia="Times New Roman" w:hAnsi="Arial"/>
      <w:szCs w:val="24"/>
      <w:lang w:val="en-US" w:eastAsia="ja-JP"/>
    </w:rPr>
  </w:style>
  <w:style w:type="character" w:styleId="PlaceholderText">
    <w:name w:val="Placeholder Text"/>
    <w:basedOn w:val="DefaultParagraphFont"/>
    <w:uiPriority w:val="99"/>
    <w:semiHidden/>
    <w:rsid w:val="001C3E69"/>
    <w:rPr>
      <w:color w:val="808080"/>
    </w:rPr>
  </w:style>
  <w:style w:type="paragraph" w:styleId="CommentText">
    <w:name w:val="annotation text"/>
    <w:basedOn w:val="Normal"/>
    <w:link w:val="CommentTextChar1"/>
    <w:uiPriority w:val="99"/>
    <w:semiHidden/>
    <w:unhideWhenUsed/>
    <w:rsid w:val="001C3E69"/>
    <w:pPr>
      <w:spacing w:line="240" w:lineRule="auto"/>
    </w:pPr>
    <w:rPr>
      <w:sz w:val="20"/>
      <w:szCs w:val="20"/>
    </w:rPr>
  </w:style>
  <w:style w:type="character" w:customStyle="1" w:styleId="CommentTextChar1">
    <w:name w:val="Comment Text Char1"/>
    <w:basedOn w:val="DefaultParagraphFont"/>
    <w:link w:val="CommentText"/>
    <w:uiPriority w:val="99"/>
    <w:semiHidden/>
    <w:rsid w:val="001C3E69"/>
    <w:rPr>
      <w:sz w:val="20"/>
      <w:szCs w:val="20"/>
    </w:rPr>
  </w:style>
  <w:style w:type="paragraph" w:styleId="CommentSubject">
    <w:name w:val="annotation subject"/>
    <w:basedOn w:val="CommentText"/>
    <w:next w:val="CommentText"/>
    <w:link w:val="CommentSubjectChar"/>
    <w:uiPriority w:val="99"/>
    <w:semiHidden/>
    <w:unhideWhenUsed/>
    <w:rsid w:val="001C3E69"/>
    <w:rPr>
      <w:rFonts w:eastAsia="Times New Roman"/>
      <w:b/>
      <w:bCs/>
      <w:lang w:val="en-US" w:eastAsia="ja-JP"/>
    </w:rPr>
  </w:style>
  <w:style w:type="character" w:customStyle="1" w:styleId="CommentSubjectChar1">
    <w:name w:val="Comment Subject Char1"/>
    <w:basedOn w:val="CommentTextChar1"/>
    <w:uiPriority w:val="99"/>
    <w:semiHidden/>
    <w:rsid w:val="001C3E69"/>
    <w:rPr>
      <w:b/>
      <w:bCs/>
      <w:sz w:val="20"/>
      <w:szCs w:val="20"/>
    </w:rPr>
  </w:style>
  <w:style w:type="paragraph" w:styleId="Revision">
    <w:name w:val="Revision"/>
    <w:hidden/>
    <w:uiPriority w:val="99"/>
    <w:semiHidden/>
    <w:rsid w:val="001C3E69"/>
    <w:pPr>
      <w:spacing w:after="0" w:line="240" w:lineRule="auto"/>
    </w:pPr>
  </w:style>
  <w:style w:type="table" w:customStyle="1" w:styleId="TableGrid4">
    <w:name w:val="Table Grid4"/>
    <w:basedOn w:val="TableNormal"/>
    <w:next w:val="TableGrid"/>
    <w:uiPriority w:val="39"/>
    <w:rsid w:val="0088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4F9E"/>
  </w:style>
  <w:style w:type="table" w:customStyle="1" w:styleId="LightShading-Accent42">
    <w:name w:val="Light Shading - Accent 42"/>
    <w:basedOn w:val="TableNormal"/>
    <w:next w:val="LightShading-Accent4"/>
    <w:uiPriority w:val="60"/>
    <w:rsid w:val="004A4F9E"/>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8">
    <w:name w:val="Table Grid8"/>
    <w:basedOn w:val="TableNormal"/>
    <w:next w:val="TableGrid"/>
    <w:uiPriority w:val="39"/>
    <w:rsid w:val="004A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9B75D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B75D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B75D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B75D6"/>
    <w:pPr>
      <w:spacing w:after="100" w:line="259" w:lineRule="auto"/>
      <w:ind w:left="1760"/>
    </w:pPr>
    <w:rPr>
      <w:rFonts w:eastAsiaTheme="minorEastAsia"/>
      <w:lang w:eastAsia="en-AU"/>
    </w:rPr>
  </w:style>
  <w:style w:type="paragraph" w:customStyle="1" w:styleId="Default">
    <w:name w:val="Default"/>
    <w:rsid w:val="00A95B6C"/>
    <w:pPr>
      <w:autoSpaceDE w:val="0"/>
      <w:autoSpaceDN w:val="0"/>
      <w:adjustRightInd w:val="0"/>
      <w:spacing w:after="0" w:line="240" w:lineRule="auto"/>
    </w:pPr>
    <w:rPr>
      <w:rFonts w:ascii="Arial" w:hAnsi="Arial" w:cs="Arial"/>
      <w:color w:val="000000"/>
      <w:sz w:val="24"/>
      <w:szCs w:val="24"/>
    </w:rPr>
  </w:style>
  <w:style w:type="table" w:customStyle="1" w:styleId="TableGrid9">
    <w:name w:val="Table Grid9"/>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Spacing"/>
    <w:link w:val="Style1Char"/>
    <w:qFormat/>
    <w:rsid w:val="00670764"/>
    <w:rPr>
      <w:color w:val="7030A0"/>
    </w:rPr>
  </w:style>
  <w:style w:type="character" w:customStyle="1" w:styleId="Style1Char">
    <w:name w:val="Style1 Char"/>
    <w:basedOn w:val="NoSpacingChar"/>
    <w:link w:val="Style1"/>
    <w:rsid w:val="00670764"/>
    <w:rPr>
      <w:rFonts w:ascii="Arial" w:hAnsi="Arial"/>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95">
      <w:bodyDiv w:val="1"/>
      <w:marLeft w:val="0"/>
      <w:marRight w:val="0"/>
      <w:marTop w:val="0"/>
      <w:marBottom w:val="0"/>
      <w:divBdr>
        <w:top w:val="none" w:sz="0" w:space="0" w:color="auto"/>
        <w:left w:val="none" w:sz="0" w:space="0" w:color="auto"/>
        <w:bottom w:val="none" w:sz="0" w:space="0" w:color="auto"/>
        <w:right w:val="none" w:sz="0" w:space="0" w:color="auto"/>
      </w:divBdr>
    </w:div>
    <w:div w:id="15083717">
      <w:bodyDiv w:val="1"/>
      <w:marLeft w:val="0"/>
      <w:marRight w:val="0"/>
      <w:marTop w:val="0"/>
      <w:marBottom w:val="0"/>
      <w:divBdr>
        <w:top w:val="none" w:sz="0" w:space="0" w:color="auto"/>
        <w:left w:val="none" w:sz="0" w:space="0" w:color="auto"/>
        <w:bottom w:val="none" w:sz="0" w:space="0" w:color="auto"/>
        <w:right w:val="none" w:sz="0" w:space="0" w:color="auto"/>
      </w:divBdr>
    </w:div>
    <w:div w:id="24530322">
      <w:bodyDiv w:val="1"/>
      <w:marLeft w:val="0"/>
      <w:marRight w:val="0"/>
      <w:marTop w:val="0"/>
      <w:marBottom w:val="0"/>
      <w:divBdr>
        <w:top w:val="none" w:sz="0" w:space="0" w:color="auto"/>
        <w:left w:val="none" w:sz="0" w:space="0" w:color="auto"/>
        <w:bottom w:val="none" w:sz="0" w:space="0" w:color="auto"/>
        <w:right w:val="none" w:sz="0" w:space="0" w:color="auto"/>
      </w:divBdr>
    </w:div>
    <w:div w:id="32192600">
      <w:bodyDiv w:val="1"/>
      <w:marLeft w:val="0"/>
      <w:marRight w:val="0"/>
      <w:marTop w:val="0"/>
      <w:marBottom w:val="0"/>
      <w:divBdr>
        <w:top w:val="none" w:sz="0" w:space="0" w:color="auto"/>
        <w:left w:val="none" w:sz="0" w:space="0" w:color="auto"/>
        <w:bottom w:val="none" w:sz="0" w:space="0" w:color="auto"/>
        <w:right w:val="none" w:sz="0" w:space="0" w:color="auto"/>
      </w:divBdr>
    </w:div>
    <w:div w:id="41834150">
      <w:bodyDiv w:val="1"/>
      <w:marLeft w:val="0"/>
      <w:marRight w:val="0"/>
      <w:marTop w:val="0"/>
      <w:marBottom w:val="0"/>
      <w:divBdr>
        <w:top w:val="none" w:sz="0" w:space="0" w:color="auto"/>
        <w:left w:val="none" w:sz="0" w:space="0" w:color="auto"/>
        <w:bottom w:val="none" w:sz="0" w:space="0" w:color="auto"/>
        <w:right w:val="none" w:sz="0" w:space="0" w:color="auto"/>
      </w:divBdr>
    </w:div>
    <w:div w:id="105467360">
      <w:bodyDiv w:val="1"/>
      <w:marLeft w:val="0"/>
      <w:marRight w:val="0"/>
      <w:marTop w:val="0"/>
      <w:marBottom w:val="0"/>
      <w:divBdr>
        <w:top w:val="none" w:sz="0" w:space="0" w:color="auto"/>
        <w:left w:val="none" w:sz="0" w:space="0" w:color="auto"/>
        <w:bottom w:val="none" w:sz="0" w:space="0" w:color="auto"/>
        <w:right w:val="none" w:sz="0" w:space="0" w:color="auto"/>
      </w:divBdr>
    </w:div>
    <w:div w:id="110906432">
      <w:bodyDiv w:val="1"/>
      <w:marLeft w:val="0"/>
      <w:marRight w:val="0"/>
      <w:marTop w:val="0"/>
      <w:marBottom w:val="0"/>
      <w:divBdr>
        <w:top w:val="none" w:sz="0" w:space="0" w:color="auto"/>
        <w:left w:val="none" w:sz="0" w:space="0" w:color="auto"/>
        <w:bottom w:val="none" w:sz="0" w:space="0" w:color="auto"/>
        <w:right w:val="none" w:sz="0" w:space="0" w:color="auto"/>
      </w:divBdr>
    </w:div>
    <w:div w:id="111948269">
      <w:bodyDiv w:val="1"/>
      <w:marLeft w:val="0"/>
      <w:marRight w:val="0"/>
      <w:marTop w:val="0"/>
      <w:marBottom w:val="0"/>
      <w:divBdr>
        <w:top w:val="none" w:sz="0" w:space="0" w:color="auto"/>
        <w:left w:val="none" w:sz="0" w:space="0" w:color="auto"/>
        <w:bottom w:val="none" w:sz="0" w:space="0" w:color="auto"/>
        <w:right w:val="none" w:sz="0" w:space="0" w:color="auto"/>
      </w:divBdr>
    </w:div>
    <w:div w:id="114563566">
      <w:bodyDiv w:val="1"/>
      <w:marLeft w:val="0"/>
      <w:marRight w:val="0"/>
      <w:marTop w:val="0"/>
      <w:marBottom w:val="0"/>
      <w:divBdr>
        <w:top w:val="none" w:sz="0" w:space="0" w:color="auto"/>
        <w:left w:val="none" w:sz="0" w:space="0" w:color="auto"/>
        <w:bottom w:val="none" w:sz="0" w:space="0" w:color="auto"/>
        <w:right w:val="none" w:sz="0" w:space="0" w:color="auto"/>
      </w:divBdr>
    </w:div>
    <w:div w:id="123085703">
      <w:bodyDiv w:val="1"/>
      <w:marLeft w:val="0"/>
      <w:marRight w:val="0"/>
      <w:marTop w:val="0"/>
      <w:marBottom w:val="0"/>
      <w:divBdr>
        <w:top w:val="none" w:sz="0" w:space="0" w:color="auto"/>
        <w:left w:val="none" w:sz="0" w:space="0" w:color="auto"/>
        <w:bottom w:val="none" w:sz="0" w:space="0" w:color="auto"/>
        <w:right w:val="none" w:sz="0" w:space="0" w:color="auto"/>
      </w:divBdr>
    </w:div>
    <w:div w:id="129133784">
      <w:bodyDiv w:val="1"/>
      <w:marLeft w:val="0"/>
      <w:marRight w:val="0"/>
      <w:marTop w:val="0"/>
      <w:marBottom w:val="0"/>
      <w:divBdr>
        <w:top w:val="none" w:sz="0" w:space="0" w:color="auto"/>
        <w:left w:val="none" w:sz="0" w:space="0" w:color="auto"/>
        <w:bottom w:val="none" w:sz="0" w:space="0" w:color="auto"/>
        <w:right w:val="none" w:sz="0" w:space="0" w:color="auto"/>
      </w:divBdr>
    </w:div>
    <w:div w:id="148985508">
      <w:bodyDiv w:val="1"/>
      <w:marLeft w:val="0"/>
      <w:marRight w:val="0"/>
      <w:marTop w:val="0"/>
      <w:marBottom w:val="0"/>
      <w:divBdr>
        <w:top w:val="none" w:sz="0" w:space="0" w:color="auto"/>
        <w:left w:val="none" w:sz="0" w:space="0" w:color="auto"/>
        <w:bottom w:val="none" w:sz="0" w:space="0" w:color="auto"/>
        <w:right w:val="none" w:sz="0" w:space="0" w:color="auto"/>
      </w:divBdr>
    </w:div>
    <w:div w:id="168058612">
      <w:bodyDiv w:val="1"/>
      <w:marLeft w:val="0"/>
      <w:marRight w:val="0"/>
      <w:marTop w:val="0"/>
      <w:marBottom w:val="0"/>
      <w:divBdr>
        <w:top w:val="none" w:sz="0" w:space="0" w:color="auto"/>
        <w:left w:val="none" w:sz="0" w:space="0" w:color="auto"/>
        <w:bottom w:val="none" w:sz="0" w:space="0" w:color="auto"/>
        <w:right w:val="none" w:sz="0" w:space="0" w:color="auto"/>
      </w:divBdr>
    </w:div>
    <w:div w:id="174149624">
      <w:bodyDiv w:val="1"/>
      <w:marLeft w:val="0"/>
      <w:marRight w:val="0"/>
      <w:marTop w:val="0"/>
      <w:marBottom w:val="0"/>
      <w:divBdr>
        <w:top w:val="none" w:sz="0" w:space="0" w:color="auto"/>
        <w:left w:val="none" w:sz="0" w:space="0" w:color="auto"/>
        <w:bottom w:val="none" w:sz="0" w:space="0" w:color="auto"/>
        <w:right w:val="none" w:sz="0" w:space="0" w:color="auto"/>
      </w:divBdr>
    </w:div>
    <w:div w:id="180903700">
      <w:bodyDiv w:val="1"/>
      <w:marLeft w:val="0"/>
      <w:marRight w:val="0"/>
      <w:marTop w:val="0"/>
      <w:marBottom w:val="0"/>
      <w:divBdr>
        <w:top w:val="none" w:sz="0" w:space="0" w:color="auto"/>
        <w:left w:val="none" w:sz="0" w:space="0" w:color="auto"/>
        <w:bottom w:val="none" w:sz="0" w:space="0" w:color="auto"/>
        <w:right w:val="none" w:sz="0" w:space="0" w:color="auto"/>
      </w:divBdr>
    </w:div>
    <w:div w:id="184904802">
      <w:bodyDiv w:val="1"/>
      <w:marLeft w:val="0"/>
      <w:marRight w:val="0"/>
      <w:marTop w:val="0"/>
      <w:marBottom w:val="0"/>
      <w:divBdr>
        <w:top w:val="none" w:sz="0" w:space="0" w:color="auto"/>
        <w:left w:val="none" w:sz="0" w:space="0" w:color="auto"/>
        <w:bottom w:val="none" w:sz="0" w:space="0" w:color="auto"/>
        <w:right w:val="none" w:sz="0" w:space="0" w:color="auto"/>
      </w:divBdr>
    </w:div>
    <w:div w:id="223222670">
      <w:bodyDiv w:val="1"/>
      <w:marLeft w:val="0"/>
      <w:marRight w:val="0"/>
      <w:marTop w:val="0"/>
      <w:marBottom w:val="0"/>
      <w:divBdr>
        <w:top w:val="none" w:sz="0" w:space="0" w:color="auto"/>
        <w:left w:val="none" w:sz="0" w:space="0" w:color="auto"/>
        <w:bottom w:val="none" w:sz="0" w:space="0" w:color="auto"/>
        <w:right w:val="none" w:sz="0" w:space="0" w:color="auto"/>
      </w:divBdr>
    </w:div>
    <w:div w:id="255401442">
      <w:bodyDiv w:val="1"/>
      <w:marLeft w:val="0"/>
      <w:marRight w:val="0"/>
      <w:marTop w:val="0"/>
      <w:marBottom w:val="0"/>
      <w:divBdr>
        <w:top w:val="none" w:sz="0" w:space="0" w:color="auto"/>
        <w:left w:val="none" w:sz="0" w:space="0" w:color="auto"/>
        <w:bottom w:val="none" w:sz="0" w:space="0" w:color="auto"/>
        <w:right w:val="none" w:sz="0" w:space="0" w:color="auto"/>
      </w:divBdr>
    </w:div>
    <w:div w:id="262761532">
      <w:bodyDiv w:val="1"/>
      <w:marLeft w:val="0"/>
      <w:marRight w:val="0"/>
      <w:marTop w:val="0"/>
      <w:marBottom w:val="0"/>
      <w:divBdr>
        <w:top w:val="none" w:sz="0" w:space="0" w:color="auto"/>
        <w:left w:val="none" w:sz="0" w:space="0" w:color="auto"/>
        <w:bottom w:val="none" w:sz="0" w:space="0" w:color="auto"/>
        <w:right w:val="none" w:sz="0" w:space="0" w:color="auto"/>
      </w:divBdr>
    </w:div>
    <w:div w:id="262807000">
      <w:bodyDiv w:val="1"/>
      <w:marLeft w:val="0"/>
      <w:marRight w:val="0"/>
      <w:marTop w:val="0"/>
      <w:marBottom w:val="0"/>
      <w:divBdr>
        <w:top w:val="none" w:sz="0" w:space="0" w:color="auto"/>
        <w:left w:val="none" w:sz="0" w:space="0" w:color="auto"/>
        <w:bottom w:val="none" w:sz="0" w:space="0" w:color="auto"/>
        <w:right w:val="none" w:sz="0" w:space="0" w:color="auto"/>
      </w:divBdr>
    </w:div>
    <w:div w:id="264506575">
      <w:bodyDiv w:val="1"/>
      <w:marLeft w:val="0"/>
      <w:marRight w:val="0"/>
      <w:marTop w:val="0"/>
      <w:marBottom w:val="0"/>
      <w:divBdr>
        <w:top w:val="none" w:sz="0" w:space="0" w:color="auto"/>
        <w:left w:val="none" w:sz="0" w:space="0" w:color="auto"/>
        <w:bottom w:val="none" w:sz="0" w:space="0" w:color="auto"/>
        <w:right w:val="none" w:sz="0" w:space="0" w:color="auto"/>
      </w:divBdr>
    </w:div>
    <w:div w:id="268390709">
      <w:bodyDiv w:val="1"/>
      <w:marLeft w:val="0"/>
      <w:marRight w:val="0"/>
      <w:marTop w:val="0"/>
      <w:marBottom w:val="0"/>
      <w:divBdr>
        <w:top w:val="none" w:sz="0" w:space="0" w:color="auto"/>
        <w:left w:val="none" w:sz="0" w:space="0" w:color="auto"/>
        <w:bottom w:val="none" w:sz="0" w:space="0" w:color="auto"/>
        <w:right w:val="none" w:sz="0" w:space="0" w:color="auto"/>
      </w:divBdr>
    </w:div>
    <w:div w:id="281690727">
      <w:bodyDiv w:val="1"/>
      <w:marLeft w:val="0"/>
      <w:marRight w:val="0"/>
      <w:marTop w:val="0"/>
      <w:marBottom w:val="0"/>
      <w:divBdr>
        <w:top w:val="none" w:sz="0" w:space="0" w:color="auto"/>
        <w:left w:val="none" w:sz="0" w:space="0" w:color="auto"/>
        <w:bottom w:val="none" w:sz="0" w:space="0" w:color="auto"/>
        <w:right w:val="none" w:sz="0" w:space="0" w:color="auto"/>
      </w:divBdr>
    </w:div>
    <w:div w:id="294868787">
      <w:bodyDiv w:val="1"/>
      <w:marLeft w:val="0"/>
      <w:marRight w:val="0"/>
      <w:marTop w:val="0"/>
      <w:marBottom w:val="0"/>
      <w:divBdr>
        <w:top w:val="none" w:sz="0" w:space="0" w:color="auto"/>
        <w:left w:val="none" w:sz="0" w:space="0" w:color="auto"/>
        <w:bottom w:val="none" w:sz="0" w:space="0" w:color="auto"/>
        <w:right w:val="none" w:sz="0" w:space="0" w:color="auto"/>
      </w:divBdr>
    </w:div>
    <w:div w:id="307326836">
      <w:bodyDiv w:val="1"/>
      <w:marLeft w:val="0"/>
      <w:marRight w:val="0"/>
      <w:marTop w:val="0"/>
      <w:marBottom w:val="0"/>
      <w:divBdr>
        <w:top w:val="none" w:sz="0" w:space="0" w:color="auto"/>
        <w:left w:val="none" w:sz="0" w:space="0" w:color="auto"/>
        <w:bottom w:val="none" w:sz="0" w:space="0" w:color="auto"/>
        <w:right w:val="none" w:sz="0" w:space="0" w:color="auto"/>
      </w:divBdr>
    </w:div>
    <w:div w:id="328406304">
      <w:bodyDiv w:val="1"/>
      <w:marLeft w:val="0"/>
      <w:marRight w:val="0"/>
      <w:marTop w:val="0"/>
      <w:marBottom w:val="0"/>
      <w:divBdr>
        <w:top w:val="none" w:sz="0" w:space="0" w:color="auto"/>
        <w:left w:val="none" w:sz="0" w:space="0" w:color="auto"/>
        <w:bottom w:val="none" w:sz="0" w:space="0" w:color="auto"/>
        <w:right w:val="none" w:sz="0" w:space="0" w:color="auto"/>
      </w:divBdr>
    </w:div>
    <w:div w:id="345058349">
      <w:bodyDiv w:val="1"/>
      <w:marLeft w:val="0"/>
      <w:marRight w:val="0"/>
      <w:marTop w:val="0"/>
      <w:marBottom w:val="0"/>
      <w:divBdr>
        <w:top w:val="none" w:sz="0" w:space="0" w:color="auto"/>
        <w:left w:val="none" w:sz="0" w:space="0" w:color="auto"/>
        <w:bottom w:val="none" w:sz="0" w:space="0" w:color="auto"/>
        <w:right w:val="none" w:sz="0" w:space="0" w:color="auto"/>
      </w:divBdr>
    </w:div>
    <w:div w:id="388116420">
      <w:bodyDiv w:val="1"/>
      <w:marLeft w:val="0"/>
      <w:marRight w:val="0"/>
      <w:marTop w:val="0"/>
      <w:marBottom w:val="0"/>
      <w:divBdr>
        <w:top w:val="none" w:sz="0" w:space="0" w:color="auto"/>
        <w:left w:val="none" w:sz="0" w:space="0" w:color="auto"/>
        <w:bottom w:val="none" w:sz="0" w:space="0" w:color="auto"/>
        <w:right w:val="none" w:sz="0" w:space="0" w:color="auto"/>
      </w:divBdr>
    </w:div>
    <w:div w:id="394164047">
      <w:bodyDiv w:val="1"/>
      <w:marLeft w:val="0"/>
      <w:marRight w:val="0"/>
      <w:marTop w:val="0"/>
      <w:marBottom w:val="0"/>
      <w:divBdr>
        <w:top w:val="none" w:sz="0" w:space="0" w:color="auto"/>
        <w:left w:val="none" w:sz="0" w:space="0" w:color="auto"/>
        <w:bottom w:val="none" w:sz="0" w:space="0" w:color="auto"/>
        <w:right w:val="none" w:sz="0" w:space="0" w:color="auto"/>
      </w:divBdr>
    </w:div>
    <w:div w:id="417674751">
      <w:bodyDiv w:val="1"/>
      <w:marLeft w:val="0"/>
      <w:marRight w:val="0"/>
      <w:marTop w:val="0"/>
      <w:marBottom w:val="0"/>
      <w:divBdr>
        <w:top w:val="none" w:sz="0" w:space="0" w:color="auto"/>
        <w:left w:val="none" w:sz="0" w:space="0" w:color="auto"/>
        <w:bottom w:val="none" w:sz="0" w:space="0" w:color="auto"/>
        <w:right w:val="none" w:sz="0" w:space="0" w:color="auto"/>
      </w:divBdr>
    </w:div>
    <w:div w:id="434520770">
      <w:bodyDiv w:val="1"/>
      <w:marLeft w:val="0"/>
      <w:marRight w:val="0"/>
      <w:marTop w:val="0"/>
      <w:marBottom w:val="0"/>
      <w:divBdr>
        <w:top w:val="none" w:sz="0" w:space="0" w:color="auto"/>
        <w:left w:val="none" w:sz="0" w:space="0" w:color="auto"/>
        <w:bottom w:val="none" w:sz="0" w:space="0" w:color="auto"/>
        <w:right w:val="none" w:sz="0" w:space="0" w:color="auto"/>
      </w:divBdr>
    </w:div>
    <w:div w:id="449589786">
      <w:bodyDiv w:val="1"/>
      <w:marLeft w:val="0"/>
      <w:marRight w:val="0"/>
      <w:marTop w:val="0"/>
      <w:marBottom w:val="0"/>
      <w:divBdr>
        <w:top w:val="none" w:sz="0" w:space="0" w:color="auto"/>
        <w:left w:val="none" w:sz="0" w:space="0" w:color="auto"/>
        <w:bottom w:val="none" w:sz="0" w:space="0" w:color="auto"/>
        <w:right w:val="none" w:sz="0" w:space="0" w:color="auto"/>
      </w:divBdr>
    </w:div>
    <w:div w:id="459688336">
      <w:bodyDiv w:val="1"/>
      <w:marLeft w:val="0"/>
      <w:marRight w:val="0"/>
      <w:marTop w:val="0"/>
      <w:marBottom w:val="0"/>
      <w:divBdr>
        <w:top w:val="none" w:sz="0" w:space="0" w:color="auto"/>
        <w:left w:val="none" w:sz="0" w:space="0" w:color="auto"/>
        <w:bottom w:val="none" w:sz="0" w:space="0" w:color="auto"/>
        <w:right w:val="none" w:sz="0" w:space="0" w:color="auto"/>
      </w:divBdr>
    </w:div>
    <w:div w:id="474226429">
      <w:bodyDiv w:val="1"/>
      <w:marLeft w:val="0"/>
      <w:marRight w:val="0"/>
      <w:marTop w:val="0"/>
      <w:marBottom w:val="0"/>
      <w:divBdr>
        <w:top w:val="none" w:sz="0" w:space="0" w:color="auto"/>
        <w:left w:val="none" w:sz="0" w:space="0" w:color="auto"/>
        <w:bottom w:val="none" w:sz="0" w:space="0" w:color="auto"/>
        <w:right w:val="none" w:sz="0" w:space="0" w:color="auto"/>
      </w:divBdr>
    </w:div>
    <w:div w:id="511453560">
      <w:bodyDiv w:val="1"/>
      <w:marLeft w:val="0"/>
      <w:marRight w:val="0"/>
      <w:marTop w:val="0"/>
      <w:marBottom w:val="0"/>
      <w:divBdr>
        <w:top w:val="none" w:sz="0" w:space="0" w:color="auto"/>
        <w:left w:val="none" w:sz="0" w:space="0" w:color="auto"/>
        <w:bottom w:val="none" w:sz="0" w:space="0" w:color="auto"/>
        <w:right w:val="none" w:sz="0" w:space="0" w:color="auto"/>
      </w:divBdr>
    </w:div>
    <w:div w:id="533812195">
      <w:bodyDiv w:val="1"/>
      <w:marLeft w:val="0"/>
      <w:marRight w:val="0"/>
      <w:marTop w:val="0"/>
      <w:marBottom w:val="0"/>
      <w:divBdr>
        <w:top w:val="none" w:sz="0" w:space="0" w:color="auto"/>
        <w:left w:val="none" w:sz="0" w:space="0" w:color="auto"/>
        <w:bottom w:val="none" w:sz="0" w:space="0" w:color="auto"/>
        <w:right w:val="none" w:sz="0" w:space="0" w:color="auto"/>
      </w:divBdr>
    </w:div>
    <w:div w:id="565650421">
      <w:bodyDiv w:val="1"/>
      <w:marLeft w:val="0"/>
      <w:marRight w:val="0"/>
      <w:marTop w:val="0"/>
      <w:marBottom w:val="0"/>
      <w:divBdr>
        <w:top w:val="none" w:sz="0" w:space="0" w:color="auto"/>
        <w:left w:val="none" w:sz="0" w:space="0" w:color="auto"/>
        <w:bottom w:val="none" w:sz="0" w:space="0" w:color="auto"/>
        <w:right w:val="none" w:sz="0" w:space="0" w:color="auto"/>
      </w:divBdr>
    </w:div>
    <w:div w:id="593435560">
      <w:bodyDiv w:val="1"/>
      <w:marLeft w:val="0"/>
      <w:marRight w:val="0"/>
      <w:marTop w:val="0"/>
      <w:marBottom w:val="0"/>
      <w:divBdr>
        <w:top w:val="none" w:sz="0" w:space="0" w:color="auto"/>
        <w:left w:val="none" w:sz="0" w:space="0" w:color="auto"/>
        <w:bottom w:val="none" w:sz="0" w:space="0" w:color="auto"/>
        <w:right w:val="none" w:sz="0" w:space="0" w:color="auto"/>
      </w:divBdr>
    </w:div>
    <w:div w:id="652682976">
      <w:bodyDiv w:val="1"/>
      <w:marLeft w:val="0"/>
      <w:marRight w:val="0"/>
      <w:marTop w:val="0"/>
      <w:marBottom w:val="0"/>
      <w:divBdr>
        <w:top w:val="none" w:sz="0" w:space="0" w:color="auto"/>
        <w:left w:val="none" w:sz="0" w:space="0" w:color="auto"/>
        <w:bottom w:val="none" w:sz="0" w:space="0" w:color="auto"/>
        <w:right w:val="none" w:sz="0" w:space="0" w:color="auto"/>
      </w:divBdr>
    </w:div>
    <w:div w:id="653220049">
      <w:bodyDiv w:val="1"/>
      <w:marLeft w:val="0"/>
      <w:marRight w:val="0"/>
      <w:marTop w:val="0"/>
      <w:marBottom w:val="0"/>
      <w:divBdr>
        <w:top w:val="none" w:sz="0" w:space="0" w:color="auto"/>
        <w:left w:val="none" w:sz="0" w:space="0" w:color="auto"/>
        <w:bottom w:val="none" w:sz="0" w:space="0" w:color="auto"/>
        <w:right w:val="none" w:sz="0" w:space="0" w:color="auto"/>
      </w:divBdr>
    </w:div>
    <w:div w:id="670176944">
      <w:bodyDiv w:val="1"/>
      <w:marLeft w:val="0"/>
      <w:marRight w:val="0"/>
      <w:marTop w:val="0"/>
      <w:marBottom w:val="0"/>
      <w:divBdr>
        <w:top w:val="none" w:sz="0" w:space="0" w:color="auto"/>
        <w:left w:val="none" w:sz="0" w:space="0" w:color="auto"/>
        <w:bottom w:val="none" w:sz="0" w:space="0" w:color="auto"/>
        <w:right w:val="none" w:sz="0" w:space="0" w:color="auto"/>
      </w:divBdr>
    </w:div>
    <w:div w:id="683558618">
      <w:bodyDiv w:val="1"/>
      <w:marLeft w:val="0"/>
      <w:marRight w:val="0"/>
      <w:marTop w:val="0"/>
      <w:marBottom w:val="0"/>
      <w:divBdr>
        <w:top w:val="none" w:sz="0" w:space="0" w:color="auto"/>
        <w:left w:val="none" w:sz="0" w:space="0" w:color="auto"/>
        <w:bottom w:val="none" w:sz="0" w:space="0" w:color="auto"/>
        <w:right w:val="none" w:sz="0" w:space="0" w:color="auto"/>
      </w:divBdr>
    </w:div>
    <w:div w:id="699863218">
      <w:bodyDiv w:val="1"/>
      <w:marLeft w:val="0"/>
      <w:marRight w:val="0"/>
      <w:marTop w:val="0"/>
      <w:marBottom w:val="0"/>
      <w:divBdr>
        <w:top w:val="none" w:sz="0" w:space="0" w:color="auto"/>
        <w:left w:val="none" w:sz="0" w:space="0" w:color="auto"/>
        <w:bottom w:val="none" w:sz="0" w:space="0" w:color="auto"/>
        <w:right w:val="none" w:sz="0" w:space="0" w:color="auto"/>
      </w:divBdr>
    </w:div>
    <w:div w:id="703559746">
      <w:bodyDiv w:val="1"/>
      <w:marLeft w:val="0"/>
      <w:marRight w:val="0"/>
      <w:marTop w:val="0"/>
      <w:marBottom w:val="0"/>
      <w:divBdr>
        <w:top w:val="none" w:sz="0" w:space="0" w:color="auto"/>
        <w:left w:val="none" w:sz="0" w:space="0" w:color="auto"/>
        <w:bottom w:val="none" w:sz="0" w:space="0" w:color="auto"/>
        <w:right w:val="none" w:sz="0" w:space="0" w:color="auto"/>
      </w:divBdr>
    </w:div>
    <w:div w:id="727917393">
      <w:bodyDiv w:val="1"/>
      <w:marLeft w:val="0"/>
      <w:marRight w:val="0"/>
      <w:marTop w:val="0"/>
      <w:marBottom w:val="0"/>
      <w:divBdr>
        <w:top w:val="none" w:sz="0" w:space="0" w:color="auto"/>
        <w:left w:val="none" w:sz="0" w:space="0" w:color="auto"/>
        <w:bottom w:val="none" w:sz="0" w:space="0" w:color="auto"/>
        <w:right w:val="none" w:sz="0" w:space="0" w:color="auto"/>
      </w:divBdr>
    </w:div>
    <w:div w:id="731582246">
      <w:bodyDiv w:val="1"/>
      <w:marLeft w:val="0"/>
      <w:marRight w:val="0"/>
      <w:marTop w:val="0"/>
      <w:marBottom w:val="0"/>
      <w:divBdr>
        <w:top w:val="none" w:sz="0" w:space="0" w:color="auto"/>
        <w:left w:val="none" w:sz="0" w:space="0" w:color="auto"/>
        <w:bottom w:val="none" w:sz="0" w:space="0" w:color="auto"/>
        <w:right w:val="none" w:sz="0" w:space="0" w:color="auto"/>
      </w:divBdr>
    </w:div>
    <w:div w:id="752238914">
      <w:bodyDiv w:val="1"/>
      <w:marLeft w:val="0"/>
      <w:marRight w:val="0"/>
      <w:marTop w:val="0"/>
      <w:marBottom w:val="0"/>
      <w:divBdr>
        <w:top w:val="none" w:sz="0" w:space="0" w:color="auto"/>
        <w:left w:val="none" w:sz="0" w:space="0" w:color="auto"/>
        <w:bottom w:val="none" w:sz="0" w:space="0" w:color="auto"/>
        <w:right w:val="none" w:sz="0" w:space="0" w:color="auto"/>
      </w:divBdr>
    </w:div>
    <w:div w:id="774598722">
      <w:bodyDiv w:val="1"/>
      <w:marLeft w:val="0"/>
      <w:marRight w:val="0"/>
      <w:marTop w:val="0"/>
      <w:marBottom w:val="0"/>
      <w:divBdr>
        <w:top w:val="none" w:sz="0" w:space="0" w:color="auto"/>
        <w:left w:val="none" w:sz="0" w:space="0" w:color="auto"/>
        <w:bottom w:val="none" w:sz="0" w:space="0" w:color="auto"/>
        <w:right w:val="none" w:sz="0" w:space="0" w:color="auto"/>
      </w:divBdr>
    </w:div>
    <w:div w:id="792940137">
      <w:bodyDiv w:val="1"/>
      <w:marLeft w:val="0"/>
      <w:marRight w:val="0"/>
      <w:marTop w:val="0"/>
      <w:marBottom w:val="0"/>
      <w:divBdr>
        <w:top w:val="none" w:sz="0" w:space="0" w:color="auto"/>
        <w:left w:val="none" w:sz="0" w:space="0" w:color="auto"/>
        <w:bottom w:val="none" w:sz="0" w:space="0" w:color="auto"/>
        <w:right w:val="none" w:sz="0" w:space="0" w:color="auto"/>
      </w:divBdr>
    </w:div>
    <w:div w:id="794717378">
      <w:bodyDiv w:val="1"/>
      <w:marLeft w:val="0"/>
      <w:marRight w:val="0"/>
      <w:marTop w:val="0"/>
      <w:marBottom w:val="0"/>
      <w:divBdr>
        <w:top w:val="none" w:sz="0" w:space="0" w:color="auto"/>
        <w:left w:val="none" w:sz="0" w:space="0" w:color="auto"/>
        <w:bottom w:val="none" w:sz="0" w:space="0" w:color="auto"/>
        <w:right w:val="none" w:sz="0" w:space="0" w:color="auto"/>
      </w:divBdr>
    </w:div>
    <w:div w:id="795299342">
      <w:bodyDiv w:val="1"/>
      <w:marLeft w:val="0"/>
      <w:marRight w:val="0"/>
      <w:marTop w:val="0"/>
      <w:marBottom w:val="0"/>
      <w:divBdr>
        <w:top w:val="none" w:sz="0" w:space="0" w:color="auto"/>
        <w:left w:val="none" w:sz="0" w:space="0" w:color="auto"/>
        <w:bottom w:val="none" w:sz="0" w:space="0" w:color="auto"/>
        <w:right w:val="none" w:sz="0" w:space="0" w:color="auto"/>
      </w:divBdr>
    </w:div>
    <w:div w:id="799306267">
      <w:bodyDiv w:val="1"/>
      <w:marLeft w:val="0"/>
      <w:marRight w:val="0"/>
      <w:marTop w:val="0"/>
      <w:marBottom w:val="0"/>
      <w:divBdr>
        <w:top w:val="none" w:sz="0" w:space="0" w:color="auto"/>
        <w:left w:val="none" w:sz="0" w:space="0" w:color="auto"/>
        <w:bottom w:val="none" w:sz="0" w:space="0" w:color="auto"/>
        <w:right w:val="none" w:sz="0" w:space="0" w:color="auto"/>
      </w:divBdr>
    </w:div>
    <w:div w:id="799684175">
      <w:bodyDiv w:val="1"/>
      <w:marLeft w:val="0"/>
      <w:marRight w:val="0"/>
      <w:marTop w:val="0"/>
      <w:marBottom w:val="0"/>
      <w:divBdr>
        <w:top w:val="none" w:sz="0" w:space="0" w:color="auto"/>
        <w:left w:val="none" w:sz="0" w:space="0" w:color="auto"/>
        <w:bottom w:val="none" w:sz="0" w:space="0" w:color="auto"/>
        <w:right w:val="none" w:sz="0" w:space="0" w:color="auto"/>
      </w:divBdr>
    </w:div>
    <w:div w:id="801773513">
      <w:bodyDiv w:val="1"/>
      <w:marLeft w:val="0"/>
      <w:marRight w:val="0"/>
      <w:marTop w:val="0"/>
      <w:marBottom w:val="0"/>
      <w:divBdr>
        <w:top w:val="none" w:sz="0" w:space="0" w:color="auto"/>
        <w:left w:val="none" w:sz="0" w:space="0" w:color="auto"/>
        <w:bottom w:val="none" w:sz="0" w:space="0" w:color="auto"/>
        <w:right w:val="none" w:sz="0" w:space="0" w:color="auto"/>
      </w:divBdr>
    </w:div>
    <w:div w:id="804666829">
      <w:bodyDiv w:val="1"/>
      <w:marLeft w:val="0"/>
      <w:marRight w:val="0"/>
      <w:marTop w:val="0"/>
      <w:marBottom w:val="0"/>
      <w:divBdr>
        <w:top w:val="none" w:sz="0" w:space="0" w:color="auto"/>
        <w:left w:val="none" w:sz="0" w:space="0" w:color="auto"/>
        <w:bottom w:val="none" w:sz="0" w:space="0" w:color="auto"/>
        <w:right w:val="none" w:sz="0" w:space="0" w:color="auto"/>
      </w:divBdr>
    </w:div>
    <w:div w:id="816141740">
      <w:bodyDiv w:val="1"/>
      <w:marLeft w:val="0"/>
      <w:marRight w:val="0"/>
      <w:marTop w:val="0"/>
      <w:marBottom w:val="0"/>
      <w:divBdr>
        <w:top w:val="none" w:sz="0" w:space="0" w:color="auto"/>
        <w:left w:val="none" w:sz="0" w:space="0" w:color="auto"/>
        <w:bottom w:val="none" w:sz="0" w:space="0" w:color="auto"/>
        <w:right w:val="none" w:sz="0" w:space="0" w:color="auto"/>
      </w:divBdr>
    </w:div>
    <w:div w:id="818426329">
      <w:bodyDiv w:val="1"/>
      <w:marLeft w:val="0"/>
      <w:marRight w:val="0"/>
      <w:marTop w:val="0"/>
      <w:marBottom w:val="0"/>
      <w:divBdr>
        <w:top w:val="none" w:sz="0" w:space="0" w:color="auto"/>
        <w:left w:val="none" w:sz="0" w:space="0" w:color="auto"/>
        <w:bottom w:val="none" w:sz="0" w:space="0" w:color="auto"/>
        <w:right w:val="none" w:sz="0" w:space="0" w:color="auto"/>
      </w:divBdr>
    </w:div>
    <w:div w:id="821895422">
      <w:bodyDiv w:val="1"/>
      <w:marLeft w:val="0"/>
      <w:marRight w:val="0"/>
      <w:marTop w:val="0"/>
      <w:marBottom w:val="0"/>
      <w:divBdr>
        <w:top w:val="none" w:sz="0" w:space="0" w:color="auto"/>
        <w:left w:val="none" w:sz="0" w:space="0" w:color="auto"/>
        <w:bottom w:val="none" w:sz="0" w:space="0" w:color="auto"/>
        <w:right w:val="none" w:sz="0" w:space="0" w:color="auto"/>
      </w:divBdr>
    </w:div>
    <w:div w:id="839544183">
      <w:bodyDiv w:val="1"/>
      <w:marLeft w:val="0"/>
      <w:marRight w:val="0"/>
      <w:marTop w:val="0"/>
      <w:marBottom w:val="0"/>
      <w:divBdr>
        <w:top w:val="none" w:sz="0" w:space="0" w:color="auto"/>
        <w:left w:val="none" w:sz="0" w:space="0" w:color="auto"/>
        <w:bottom w:val="none" w:sz="0" w:space="0" w:color="auto"/>
        <w:right w:val="none" w:sz="0" w:space="0" w:color="auto"/>
      </w:divBdr>
    </w:div>
    <w:div w:id="843711535">
      <w:bodyDiv w:val="1"/>
      <w:marLeft w:val="0"/>
      <w:marRight w:val="0"/>
      <w:marTop w:val="0"/>
      <w:marBottom w:val="0"/>
      <w:divBdr>
        <w:top w:val="none" w:sz="0" w:space="0" w:color="auto"/>
        <w:left w:val="none" w:sz="0" w:space="0" w:color="auto"/>
        <w:bottom w:val="none" w:sz="0" w:space="0" w:color="auto"/>
        <w:right w:val="none" w:sz="0" w:space="0" w:color="auto"/>
      </w:divBdr>
    </w:div>
    <w:div w:id="843740588">
      <w:bodyDiv w:val="1"/>
      <w:marLeft w:val="0"/>
      <w:marRight w:val="0"/>
      <w:marTop w:val="0"/>
      <w:marBottom w:val="0"/>
      <w:divBdr>
        <w:top w:val="none" w:sz="0" w:space="0" w:color="auto"/>
        <w:left w:val="none" w:sz="0" w:space="0" w:color="auto"/>
        <w:bottom w:val="none" w:sz="0" w:space="0" w:color="auto"/>
        <w:right w:val="none" w:sz="0" w:space="0" w:color="auto"/>
      </w:divBdr>
    </w:div>
    <w:div w:id="863977978">
      <w:bodyDiv w:val="1"/>
      <w:marLeft w:val="0"/>
      <w:marRight w:val="0"/>
      <w:marTop w:val="0"/>
      <w:marBottom w:val="0"/>
      <w:divBdr>
        <w:top w:val="none" w:sz="0" w:space="0" w:color="auto"/>
        <w:left w:val="none" w:sz="0" w:space="0" w:color="auto"/>
        <w:bottom w:val="none" w:sz="0" w:space="0" w:color="auto"/>
        <w:right w:val="none" w:sz="0" w:space="0" w:color="auto"/>
      </w:divBdr>
    </w:div>
    <w:div w:id="873690902">
      <w:bodyDiv w:val="1"/>
      <w:marLeft w:val="0"/>
      <w:marRight w:val="0"/>
      <w:marTop w:val="0"/>
      <w:marBottom w:val="0"/>
      <w:divBdr>
        <w:top w:val="none" w:sz="0" w:space="0" w:color="auto"/>
        <w:left w:val="none" w:sz="0" w:space="0" w:color="auto"/>
        <w:bottom w:val="none" w:sz="0" w:space="0" w:color="auto"/>
        <w:right w:val="none" w:sz="0" w:space="0" w:color="auto"/>
      </w:divBdr>
    </w:div>
    <w:div w:id="881207915">
      <w:bodyDiv w:val="1"/>
      <w:marLeft w:val="0"/>
      <w:marRight w:val="0"/>
      <w:marTop w:val="0"/>
      <w:marBottom w:val="0"/>
      <w:divBdr>
        <w:top w:val="none" w:sz="0" w:space="0" w:color="auto"/>
        <w:left w:val="none" w:sz="0" w:space="0" w:color="auto"/>
        <w:bottom w:val="none" w:sz="0" w:space="0" w:color="auto"/>
        <w:right w:val="none" w:sz="0" w:space="0" w:color="auto"/>
      </w:divBdr>
    </w:div>
    <w:div w:id="883367302">
      <w:bodyDiv w:val="1"/>
      <w:marLeft w:val="0"/>
      <w:marRight w:val="0"/>
      <w:marTop w:val="0"/>
      <w:marBottom w:val="0"/>
      <w:divBdr>
        <w:top w:val="none" w:sz="0" w:space="0" w:color="auto"/>
        <w:left w:val="none" w:sz="0" w:space="0" w:color="auto"/>
        <w:bottom w:val="none" w:sz="0" w:space="0" w:color="auto"/>
        <w:right w:val="none" w:sz="0" w:space="0" w:color="auto"/>
      </w:divBdr>
    </w:div>
    <w:div w:id="923076505">
      <w:bodyDiv w:val="1"/>
      <w:marLeft w:val="0"/>
      <w:marRight w:val="0"/>
      <w:marTop w:val="0"/>
      <w:marBottom w:val="0"/>
      <w:divBdr>
        <w:top w:val="none" w:sz="0" w:space="0" w:color="auto"/>
        <w:left w:val="none" w:sz="0" w:space="0" w:color="auto"/>
        <w:bottom w:val="none" w:sz="0" w:space="0" w:color="auto"/>
        <w:right w:val="none" w:sz="0" w:space="0" w:color="auto"/>
      </w:divBdr>
    </w:div>
    <w:div w:id="929777806">
      <w:bodyDiv w:val="1"/>
      <w:marLeft w:val="0"/>
      <w:marRight w:val="0"/>
      <w:marTop w:val="0"/>
      <w:marBottom w:val="0"/>
      <w:divBdr>
        <w:top w:val="none" w:sz="0" w:space="0" w:color="auto"/>
        <w:left w:val="none" w:sz="0" w:space="0" w:color="auto"/>
        <w:bottom w:val="none" w:sz="0" w:space="0" w:color="auto"/>
        <w:right w:val="none" w:sz="0" w:space="0" w:color="auto"/>
      </w:divBdr>
    </w:div>
    <w:div w:id="956107767">
      <w:bodyDiv w:val="1"/>
      <w:marLeft w:val="0"/>
      <w:marRight w:val="0"/>
      <w:marTop w:val="0"/>
      <w:marBottom w:val="0"/>
      <w:divBdr>
        <w:top w:val="none" w:sz="0" w:space="0" w:color="auto"/>
        <w:left w:val="none" w:sz="0" w:space="0" w:color="auto"/>
        <w:bottom w:val="none" w:sz="0" w:space="0" w:color="auto"/>
        <w:right w:val="none" w:sz="0" w:space="0" w:color="auto"/>
      </w:divBdr>
    </w:div>
    <w:div w:id="998651761">
      <w:bodyDiv w:val="1"/>
      <w:marLeft w:val="0"/>
      <w:marRight w:val="0"/>
      <w:marTop w:val="0"/>
      <w:marBottom w:val="0"/>
      <w:divBdr>
        <w:top w:val="none" w:sz="0" w:space="0" w:color="auto"/>
        <w:left w:val="none" w:sz="0" w:space="0" w:color="auto"/>
        <w:bottom w:val="none" w:sz="0" w:space="0" w:color="auto"/>
        <w:right w:val="none" w:sz="0" w:space="0" w:color="auto"/>
      </w:divBdr>
    </w:div>
    <w:div w:id="1000085446">
      <w:bodyDiv w:val="1"/>
      <w:marLeft w:val="0"/>
      <w:marRight w:val="0"/>
      <w:marTop w:val="0"/>
      <w:marBottom w:val="0"/>
      <w:divBdr>
        <w:top w:val="none" w:sz="0" w:space="0" w:color="auto"/>
        <w:left w:val="none" w:sz="0" w:space="0" w:color="auto"/>
        <w:bottom w:val="none" w:sz="0" w:space="0" w:color="auto"/>
        <w:right w:val="none" w:sz="0" w:space="0" w:color="auto"/>
      </w:divBdr>
    </w:div>
    <w:div w:id="1011569467">
      <w:bodyDiv w:val="1"/>
      <w:marLeft w:val="0"/>
      <w:marRight w:val="0"/>
      <w:marTop w:val="0"/>
      <w:marBottom w:val="0"/>
      <w:divBdr>
        <w:top w:val="none" w:sz="0" w:space="0" w:color="auto"/>
        <w:left w:val="none" w:sz="0" w:space="0" w:color="auto"/>
        <w:bottom w:val="none" w:sz="0" w:space="0" w:color="auto"/>
        <w:right w:val="none" w:sz="0" w:space="0" w:color="auto"/>
      </w:divBdr>
    </w:div>
    <w:div w:id="1022321918">
      <w:bodyDiv w:val="1"/>
      <w:marLeft w:val="0"/>
      <w:marRight w:val="0"/>
      <w:marTop w:val="0"/>
      <w:marBottom w:val="0"/>
      <w:divBdr>
        <w:top w:val="none" w:sz="0" w:space="0" w:color="auto"/>
        <w:left w:val="none" w:sz="0" w:space="0" w:color="auto"/>
        <w:bottom w:val="none" w:sz="0" w:space="0" w:color="auto"/>
        <w:right w:val="none" w:sz="0" w:space="0" w:color="auto"/>
      </w:divBdr>
    </w:div>
    <w:div w:id="1034505523">
      <w:bodyDiv w:val="1"/>
      <w:marLeft w:val="0"/>
      <w:marRight w:val="0"/>
      <w:marTop w:val="0"/>
      <w:marBottom w:val="0"/>
      <w:divBdr>
        <w:top w:val="none" w:sz="0" w:space="0" w:color="auto"/>
        <w:left w:val="none" w:sz="0" w:space="0" w:color="auto"/>
        <w:bottom w:val="none" w:sz="0" w:space="0" w:color="auto"/>
        <w:right w:val="none" w:sz="0" w:space="0" w:color="auto"/>
      </w:divBdr>
    </w:div>
    <w:div w:id="1045717833">
      <w:bodyDiv w:val="1"/>
      <w:marLeft w:val="0"/>
      <w:marRight w:val="0"/>
      <w:marTop w:val="0"/>
      <w:marBottom w:val="0"/>
      <w:divBdr>
        <w:top w:val="none" w:sz="0" w:space="0" w:color="auto"/>
        <w:left w:val="none" w:sz="0" w:space="0" w:color="auto"/>
        <w:bottom w:val="none" w:sz="0" w:space="0" w:color="auto"/>
        <w:right w:val="none" w:sz="0" w:space="0" w:color="auto"/>
      </w:divBdr>
    </w:div>
    <w:div w:id="1080520511">
      <w:bodyDiv w:val="1"/>
      <w:marLeft w:val="0"/>
      <w:marRight w:val="0"/>
      <w:marTop w:val="0"/>
      <w:marBottom w:val="0"/>
      <w:divBdr>
        <w:top w:val="none" w:sz="0" w:space="0" w:color="auto"/>
        <w:left w:val="none" w:sz="0" w:space="0" w:color="auto"/>
        <w:bottom w:val="none" w:sz="0" w:space="0" w:color="auto"/>
        <w:right w:val="none" w:sz="0" w:space="0" w:color="auto"/>
      </w:divBdr>
    </w:div>
    <w:div w:id="1082994094">
      <w:bodyDiv w:val="1"/>
      <w:marLeft w:val="0"/>
      <w:marRight w:val="0"/>
      <w:marTop w:val="0"/>
      <w:marBottom w:val="0"/>
      <w:divBdr>
        <w:top w:val="none" w:sz="0" w:space="0" w:color="auto"/>
        <w:left w:val="none" w:sz="0" w:space="0" w:color="auto"/>
        <w:bottom w:val="none" w:sz="0" w:space="0" w:color="auto"/>
        <w:right w:val="none" w:sz="0" w:space="0" w:color="auto"/>
      </w:divBdr>
    </w:div>
    <w:div w:id="1108700403">
      <w:bodyDiv w:val="1"/>
      <w:marLeft w:val="0"/>
      <w:marRight w:val="0"/>
      <w:marTop w:val="0"/>
      <w:marBottom w:val="0"/>
      <w:divBdr>
        <w:top w:val="none" w:sz="0" w:space="0" w:color="auto"/>
        <w:left w:val="none" w:sz="0" w:space="0" w:color="auto"/>
        <w:bottom w:val="none" w:sz="0" w:space="0" w:color="auto"/>
        <w:right w:val="none" w:sz="0" w:space="0" w:color="auto"/>
      </w:divBdr>
    </w:div>
    <w:div w:id="1120345138">
      <w:bodyDiv w:val="1"/>
      <w:marLeft w:val="0"/>
      <w:marRight w:val="0"/>
      <w:marTop w:val="0"/>
      <w:marBottom w:val="0"/>
      <w:divBdr>
        <w:top w:val="none" w:sz="0" w:space="0" w:color="auto"/>
        <w:left w:val="none" w:sz="0" w:space="0" w:color="auto"/>
        <w:bottom w:val="none" w:sz="0" w:space="0" w:color="auto"/>
        <w:right w:val="none" w:sz="0" w:space="0" w:color="auto"/>
      </w:divBdr>
    </w:div>
    <w:div w:id="1132016167">
      <w:bodyDiv w:val="1"/>
      <w:marLeft w:val="0"/>
      <w:marRight w:val="0"/>
      <w:marTop w:val="0"/>
      <w:marBottom w:val="0"/>
      <w:divBdr>
        <w:top w:val="none" w:sz="0" w:space="0" w:color="auto"/>
        <w:left w:val="none" w:sz="0" w:space="0" w:color="auto"/>
        <w:bottom w:val="none" w:sz="0" w:space="0" w:color="auto"/>
        <w:right w:val="none" w:sz="0" w:space="0" w:color="auto"/>
      </w:divBdr>
    </w:div>
    <w:div w:id="1225605789">
      <w:bodyDiv w:val="1"/>
      <w:marLeft w:val="0"/>
      <w:marRight w:val="0"/>
      <w:marTop w:val="0"/>
      <w:marBottom w:val="0"/>
      <w:divBdr>
        <w:top w:val="none" w:sz="0" w:space="0" w:color="auto"/>
        <w:left w:val="none" w:sz="0" w:space="0" w:color="auto"/>
        <w:bottom w:val="none" w:sz="0" w:space="0" w:color="auto"/>
        <w:right w:val="none" w:sz="0" w:space="0" w:color="auto"/>
      </w:divBdr>
    </w:div>
    <w:div w:id="1264462903">
      <w:bodyDiv w:val="1"/>
      <w:marLeft w:val="0"/>
      <w:marRight w:val="0"/>
      <w:marTop w:val="0"/>
      <w:marBottom w:val="0"/>
      <w:divBdr>
        <w:top w:val="none" w:sz="0" w:space="0" w:color="auto"/>
        <w:left w:val="none" w:sz="0" w:space="0" w:color="auto"/>
        <w:bottom w:val="none" w:sz="0" w:space="0" w:color="auto"/>
        <w:right w:val="none" w:sz="0" w:space="0" w:color="auto"/>
      </w:divBdr>
    </w:div>
    <w:div w:id="1266229393">
      <w:bodyDiv w:val="1"/>
      <w:marLeft w:val="0"/>
      <w:marRight w:val="0"/>
      <w:marTop w:val="0"/>
      <w:marBottom w:val="0"/>
      <w:divBdr>
        <w:top w:val="none" w:sz="0" w:space="0" w:color="auto"/>
        <w:left w:val="none" w:sz="0" w:space="0" w:color="auto"/>
        <w:bottom w:val="none" w:sz="0" w:space="0" w:color="auto"/>
        <w:right w:val="none" w:sz="0" w:space="0" w:color="auto"/>
      </w:divBdr>
    </w:div>
    <w:div w:id="1281375903">
      <w:bodyDiv w:val="1"/>
      <w:marLeft w:val="0"/>
      <w:marRight w:val="0"/>
      <w:marTop w:val="0"/>
      <w:marBottom w:val="0"/>
      <w:divBdr>
        <w:top w:val="none" w:sz="0" w:space="0" w:color="auto"/>
        <w:left w:val="none" w:sz="0" w:space="0" w:color="auto"/>
        <w:bottom w:val="none" w:sz="0" w:space="0" w:color="auto"/>
        <w:right w:val="none" w:sz="0" w:space="0" w:color="auto"/>
      </w:divBdr>
    </w:div>
    <w:div w:id="1288780829">
      <w:bodyDiv w:val="1"/>
      <w:marLeft w:val="0"/>
      <w:marRight w:val="0"/>
      <w:marTop w:val="0"/>
      <w:marBottom w:val="0"/>
      <w:divBdr>
        <w:top w:val="none" w:sz="0" w:space="0" w:color="auto"/>
        <w:left w:val="none" w:sz="0" w:space="0" w:color="auto"/>
        <w:bottom w:val="none" w:sz="0" w:space="0" w:color="auto"/>
        <w:right w:val="none" w:sz="0" w:space="0" w:color="auto"/>
      </w:divBdr>
    </w:div>
    <w:div w:id="1327630456">
      <w:bodyDiv w:val="1"/>
      <w:marLeft w:val="0"/>
      <w:marRight w:val="0"/>
      <w:marTop w:val="0"/>
      <w:marBottom w:val="0"/>
      <w:divBdr>
        <w:top w:val="none" w:sz="0" w:space="0" w:color="auto"/>
        <w:left w:val="none" w:sz="0" w:space="0" w:color="auto"/>
        <w:bottom w:val="none" w:sz="0" w:space="0" w:color="auto"/>
        <w:right w:val="none" w:sz="0" w:space="0" w:color="auto"/>
      </w:divBdr>
    </w:div>
    <w:div w:id="1337343866">
      <w:bodyDiv w:val="1"/>
      <w:marLeft w:val="0"/>
      <w:marRight w:val="0"/>
      <w:marTop w:val="0"/>
      <w:marBottom w:val="0"/>
      <w:divBdr>
        <w:top w:val="none" w:sz="0" w:space="0" w:color="auto"/>
        <w:left w:val="none" w:sz="0" w:space="0" w:color="auto"/>
        <w:bottom w:val="none" w:sz="0" w:space="0" w:color="auto"/>
        <w:right w:val="none" w:sz="0" w:space="0" w:color="auto"/>
      </w:divBdr>
    </w:div>
    <w:div w:id="1346321547">
      <w:bodyDiv w:val="1"/>
      <w:marLeft w:val="0"/>
      <w:marRight w:val="0"/>
      <w:marTop w:val="0"/>
      <w:marBottom w:val="0"/>
      <w:divBdr>
        <w:top w:val="none" w:sz="0" w:space="0" w:color="auto"/>
        <w:left w:val="none" w:sz="0" w:space="0" w:color="auto"/>
        <w:bottom w:val="none" w:sz="0" w:space="0" w:color="auto"/>
        <w:right w:val="none" w:sz="0" w:space="0" w:color="auto"/>
      </w:divBdr>
    </w:div>
    <w:div w:id="1415667085">
      <w:bodyDiv w:val="1"/>
      <w:marLeft w:val="0"/>
      <w:marRight w:val="0"/>
      <w:marTop w:val="0"/>
      <w:marBottom w:val="0"/>
      <w:divBdr>
        <w:top w:val="none" w:sz="0" w:space="0" w:color="auto"/>
        <w:left w:val="none" w:sz="0" w:space="0" w:color="auto"/>
        <w:bottom w:val="none" w:sz="0" w:space="0" w:color="auto"/>
        <w:right w:val="none" w:sz="0" w:space="0" w:color="auto"/>
      </w:divBdr>
    </w:div>
    <w:div w:id="1430126724">
      <w:bodyDiv w:val="1"/>
      <w:marLeft w:val="0"/>
      <w:marRight w:val="0"/>
      <w:marTop w:val="0"/>
      <w:marBottom w:val="0"/>
      <w:divBdr>
        <w:top w:val="none" w:sz="0" w:space="0" w:color="auto"/>
        <w:left w:val="none" w:sz="0" w:space="0" w:color="auto"/>
        <w:bottom w:val="none" w:sz="0" w:space="0" w:color="auto"/>
        <w:right w:val="none" w:sz="0" w:space="0" w:color="auto"/>
      </w:divBdr>
    </w:div>
    <w:div w:id="1447458213">
      <w:bodyDiv w:val="1"/>
      <w:marLeft w:val="0"/>
      <w:marRight w:val="0"/>
      <w:marTop w:val="0"/>
      <w:marBottom w:val="0"/>
      <w:divBdr>
        <w:top w:val="none" w:sz="0" w:space="0" w:color="auto"/>
        <w:left w:val="none" w:sz="0" w:space="0" w:color="auto"/>
        <w:bottom w:val="none" w:sz="0" w:space="0" w:color="auto"/>
        <w:right w:val="none" w:sz="0" w:space="0" w:color="auto"/>
      </w:divBdr>
    </w:div>
    <w:div w:id="1457603045">
      <w:bodyDiv w:val="1"/>
      <w:marLeft w:val="0"/>
      <w:marRight w:val="0"/>
      <w:marTop w:val="0"/>
      <w:marBottom w:val="0"/>
      <w:divBdr>
        <w:top w:val="none" w:sz="0" w:space="0" w:color="auto"/>
        <w:left w:val="none" w:sz="0" w:space="0" w:color="auto"/>
        <w:bottom w:val="none" w:sz="0" w:space="0" w:color="auto"/>
        <w:right w:val="none" w:sz="0" w:space="0" w:color="auto"/>
      </w:divBdr>
    </w:div>
    <w:div w:id="1472207700">
      <w:bodyDiv w:val="1"/>
      <w:marLeft w:val="0"/>
      <w:marRight w:val="0"/>
      <w:marTop w:val="0"/>
      <w:marBottom w:val="0"/>
      <w:divBdr>
        <w:top w:val="none" w:sz="0" w:space="0" w:color="auto"/>
        <w:left w:val="none" w:sz="0" w:space="0" w:color="auto"/>
        <w:bottom w:val="none" w:sz="0" w:space="0" w:color="auto"/>
        <w:right w:val="none" w:sz="0" w:space="0" w:color="auto"/>
      </w:divBdr>
    </w:div>
    <w:div w:id="1495954053">
      <w:bodyDiv w:val="1"/>
      <w:marLeft w:val="0"/>
      <w:marRight w:val="0"/>
      <w:marTop w:val="0"/>
      <w:marBottom w:val="0"/>
      <w:divBdr>
        <w:top w:val="none" w:sz="0" w:space="0" w:color="auto"/>
        <w:left w:val="none" w:sz="0" w:space="0" w:color="auto"/>
        <w:bottom w:val="none" w:sz="0" w:space="0" w:color="auto"/>
        <w:right w:val="none" w:sz="0" w:space="0" w:color="auto"/>
      </w:divBdr>
    </w:div>
    <w:div w:id="1498110639">
      <w:bodyDiv w:val="1"/>
      <w:marLeft w:val="0"/>
      <w:marRight w:val="0"/>
      <w:marTop w:val="0"/>
      <w:marBottom w:val="0"/>
      <w:divBdr>
        <w:top w:val="none" w:sz="0" w:space="0" w:color="auto"/>
        <w:left w:val="none" w:sz="0" w:space="0" w:color="auto"/>
        <w:bottom w:val="none" w:sz="0" w:space="0" w:color="auto"/>
        <w:right w:val="none" w:sz="0" w:space="0" w:color="auto"/>
      </w:divBdr>
    </w:div>
    <w:div w:id="1527870114">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6063580">
      <w:bodyDiv w:val="1"/>
      <w:marLeft w:val="0"/>
      <w:marRight w:val="0"/>
      <w:marTop w:val="0"/>
      <w:marBottom w:val="0"/>
      <w:divBdr>
        <w:top w:val="none" w:sz="0" w:space="0" w:color="auto"/>
        <w:left w:val="none" w:sz="0" w:space="0" w:color="auto"/>
        <w:bottom w:val="none" w:sz="0" w:space="0" w:color="auto"/>
        <w:right w:val="none" w:sz="0" w:space="0" w:color="auto"/>
      </w:divBdr>
    </w:div>
    <w:div w:id="1565945187">
      <w:bodyDiv w:val="1"/>
      <w:marLeft w:val="0"/>
      <w:marRight w:val="0"/>
      <w:marTop w:val="0"/>
      <w:marBottom w:val="0"/>
      <w:divBdr>
        <w:top w:val="none" w:sz="0" w:space="0" w:color="auto"/>
        <w:left w:val="none" w:sz="0" w:space="0" w:color="auto"/>
        <w:bottom w:val="none" w:sz="0" w:space="0" w:color="auto"/>
        <w:right w:val="none" w:sz="0" w:space="0" w:color="auto"/>
      </w:divBdr>
    </w:div>
    <w:div w:id="1574586881">
      <w:bodyDiv w:val="1"/>
      <w:marLeft w:val="0"/>
      <w:marRight w:val="0"/>
      <w:marTop w:val="0"/>
      <w:marBottom w:val="0"/>
      <w:divBdr>
        <w:top w:val="none" w:sz="0" w:space="0" w:color="auto"/>
        <w:left w:val="none" w:sz="0" w:space="0" w:color="auto"/>
        <w:bottom w:val="none" w:sz="0" w:space="0" w:color="auto"/>
        <w:right w:val="none" w:sz="0" w:space="0" w:color="auto"/>
      </w:divBdr>
    </w:div>
    <w:div w:id="1583906307">
      <w:bodyDiv w:val="1"/>
      <w:marLeft w:val="0"/>
      <w:marRight w:val="0"/>
      <w:marTop w:val="0"/>
      <w:marBottom w:val="0"/>
      <w:divBdr>
        <w:top w:val="none" w:sz="0" w:space="0" w:color="auto"/>
        <w:left w:val="none" w:sz="0" w:space="0" w:color="auto"/>
        <w:bottom w:val="none" w:sz="0" w:space="0" w:color="auto"/>
        <w:right w:val="none" w:sz="0" w:space="0" w:color="auto"/>
      </w:divBdr>
    </w:div>
    <w:div w:id="1591505648">
      <w:bodyDiv w:val="1"/>
      <w:marLeft w:val="0"/>
      <w:marRight w:val="0"/>
      <w:marTop w:val="0"/>
      <w:marBottom w:val="0"/>
      <w:divBdr>
        <w:top w:val="none" w:sz="0" w:space="0" w:color="auto"/>
        <w:left w:val="none" w:sz="0" w:space="0" w:color="auto"/>
        <w:bottom w:val="none" w:sz="0" w:space="0" w:color="auto"/>
        <w:right w:val="none" w:sz="0" w:space="0" w:color="auto"/>
      </w:divBdr>
    </w:div>
    <w:div w:id="1600723584">
      <w:bodyDiv w:val="1"/>
      <w:marLeft w:val="0"/>
      <w:marRight w:val="0"/>
      <w:marTop w:val="0"/>
      <w:marBottom w:val="0"/>
      <w:divBdr>
        <w:top w:val="none" w:sz="0" w:space="0" w:color="auto"/>
        <w:left w:val="none" w:sz="0" w:space="0" w:color="auto"/>
        <w:bottom w:val="none" w:sz="0" w:space="0" w:color="auto"/>
        <w:right w:val="none" w:sz="0" w:space="0" w:color="auto"/>
      </w:divBdr>
    </w:div>
    <w:div w:id="1615210341">
      <w:bodyDiv w:val="1"/>
      <w:marLeft w:val="0"/>
      <w:marRight w:val="0"/>
      <w:marTop w:val="0"/>
      <w:marBottom w:val="0"/>
      <w:divBdr>
        <w:top w:val="none" w:sz="0" w:space="0" w:color="auto"/>
        <w:left w:val="none" w:sz="0" w:space="0" w:color="auto"/>
        <w:bottom w:val="none" w:sz="0" w:space="0" w:color="auto"/>
        <w:right w:val="none" w:sz="0" w:space="0" w:color="auto"/>
      </w:divBdr>
    </w:div>
    <w:div w:id="1659920500">
      <w:bodyDiv w:val="1"/>
      <w:marLeft w:val="0"/>
      <w:marRight w:val="0"/>
      <w:marTop w:val="0"/>
      <w:marBottom w:val="0"/>
      <w:divBdr>
        <w:top w:val="none" w:sz="0" w:space="0" w:color="auto"/>
        <w:left w:val="none" w:sz="0" w:space="0" w:color="auto"/>
        <w:bottom w:val="none" w:sz="0" w:space="0" w:color="auto"/>
        <w:right w:val="none" w:sz="0" w:space="0" w:color="auto"/>
      </w:divBdr>
    </w:div>
    <w:div w:id="1686011613">
      <w:bodyDiv w:val="1"/>
      <w:marLeft w:val="0"/>
      <w:marRight w:val="0"/>
      <w:marTop w:val="0"/>
      <w:marBottom w:val="0"/>
      <w:divBdr>
        <w:top w:val="none" w:sz="0" w:space="0" w:color="auto"/>
        <w:left w:val="none" w:sz="0" w:space="0" w:color="auto"/>
        <w:bottom w:val="none" w:sz="0" w:space="0" w:color="auto"/>
        <w:right w:val="none" w:sz="0" w:space="0" w:color="auto"/>
      </w:divBdr>
    </w:div>
    <w:div w:id="1738362727">
      <w:bodyDiv w:val="1"/>
      <w:marLeft w:val="0"/>
      <w:marRight w:val="0"/>
      <w:marTop w:val="0"/>
      <w:marBottom w:val="0"/>
      <w:divBdr>
        <w:top w:val="none" w:sz="0" w:space="0" w:color="auto"/>
        <w:left w:val="none" w:sz="0" w:space="0" w:color="auto"/>
        <w:bottom w:val="none" w:sz="0" w:space="0" w:color="auto"/>
        <w:right w:val="none" w:sz="0" w:space="0" w:color="auto"/>
      </w:divBdr>
    </w:div>
    <w:div w:id="1738478791">
      <w:bodyDiv w:val="1"/>
      <w:marLeft w:val="0"/>
      <w:marRight w:val="0"/>
      <w:marTop w:val="0"/>
      <w:marBottom w:val="0"/>
      <w:divBdr>
        <w:top w:val="none" w:sz="0" w:space="0" w:color="auto"/>
        <w:left w:val="none" w:sz="0" w:space="0" w:color="auto"/>
        <w:bottom w:val="none" w:sz="0" w:space="0" w:color="auto"/>
        <w:right w:val="none" w:sz="0" w:space="0" w:color="auto"/>
      </w:divBdr>
    </w:div>
    <w:div w:id="1740012101">
      <w:bodyDiv w:val="1"/>
      <w:marLeft w:val="0"/>
      <w:marRight w:val="0"/>
      <w:marTop w:val="0"/>
      <w:marBottom w:val="0"/>
      <w:divBdr>
        <w:top w:val="none" w:sz="0" w:space="0" w:color="auto"/>
        <w:left w:val="none" w:sz="0" w:space="0" w:color="auto"/>
        <w:bottom w:val="none" w:sz="0" w:space="0" w:color="auto"/>
        <w:right w:val="none" w:sz="0" w:space="0" w:color="auto"/>
      </w:divBdr>
    </w:div>
    <w:div w:id="1740204479">
      <w:bodyDiv w:val="1"/>
      <w:marLeft w:val="0"/>
      <w:marRight w:val="0"/>
      <w:marTop w:val="0"/>
      <w:marBottom w:val="0"/>
      <w:divBdr>
        <w:top w:val="none" w:sz="0" w:space="0" w:color="auto"/>
        <w:left w:val="none" w:sz="0" w:space="0" w:color="auto"/>
        <w:bottom w:val="none" w:sz="0" w:space="0" w:color="auto"/>
        <w:right w:val="none" w:sz="0" w:space="0" w:color="auto"/>
      </w:divBdr>
    </w:div>
    <w:div w:id="1746608394">
      <w:bodyDiv w:val="1"/>
      <w:marLeft w:val="0"/>
      <w:marRight w:val="0"/>
      <w:marTop w:val="0"/>
      <w:marBottom w:val="0"/>
      <w:divBdr>
        <w:top w:val="none" w:sz="0" w:space="0" w:color="auto"/>
        <w:left w:val="none" w:sz="0" w:space="0" w:color="auto"/>
        <w:bottom w:val="none" w:sz="0" w:space="0" w:color="auto"/>
        <w:right w:val="none" w:sz="0" w:space="0" w:color="auto"/>
      </w:divBdr>
    </w:div>
    <w:div w:id="1790011289">
      <w:bodyDiv w:val="1"/>
      <w:marLeft w:val="0"/>
      <w:marRight w:val="0"/>
      <w:marTop w:val="0"/>
      <w:marBottom w:val="0"/>
      <w:divBdr>
        <w:top w:val="none" w:sz="0" w:space="0" w:color="auto"/>
        <w:left w:val="none" w:sz="0" w:space="0" w:color="auto"/>
        <w:bottom w:val="none" w:sz="0" w:space="0" w:color="auto"/>
        <w:right w:val="none" w:sz="0" w:space="0" w:color="auto"/>
      </w:divBdr>
    </w:div>
    <w:div w:id="1791319940">
      <w:bodyDiv w:val="1"/>
      <w:marLeft w:val="0"/>
      <w:marRight w:val="0"/>
      <w:marTop w:val="0"/>
      <w:marBottom w:val="0"/>
      <w:divBdr>
        <w:top w:val="none" w:sz="0" w:space="0" w:color="auto"/>
        <w:left w:val="none" w:sz="0" w:space="0" w:color="auto"/>
        <w:bottom w:val="none" w:sz="0" w:space="0" w:color="auto"/>
        <w:right w:val="none" w:sz="0" w:space="0" w:color="auto"/>
      </w:divBdr>
    </w:div>
    <w:div w:id="1799832931">
      <w:bodyDiv w:val="1"/>
      <w:marLeft w:val="0"/>
      <w:marRight w:val="0"/>
      <w:marTop w:val="0"/>
      <w:marBottom w:val="0"/>
      <w:divBdr>
        <w:top w:val="none" w:sz="0" w:space="0" w:color="auto"/>
        <w:left w:val="none" w:sz="0" w:space="0" w:color="auto"/>
        <w:bottom w:val="none" w:sz="0" w:space="0" w:color="auto"/>
        <w:right w:val="none" w:sz="0" w:space="0" w:color="auto"/>
      </w:divBdr>
    </w:div>
    <w:div w:id="1844976141">
      <w:bodyDiv w:val="1"/>
      <w:marLeft w:val="0"/>
      <w:marRight w:val="0"/>
      <w:marTop w:val="0"/>
      <w:marBottom w:val="0"/>
      <w:divBdr>
        <w:top w:val="none" w:sz="0" w:space="0" w:color="auto"/>
        <w:left w:val="none" w:sz="0" w:space="0" w:color="auto"/>
        <w:bottom w:val="none" w:sz="0" w:space="0" w:color="auto"/>
        <w:right w:val="none" w:sz="0" w:space="0" w:color="auto"/>
      </w:divBdr>
    </w:div>
    <w:div w:id="1877622668">
      <w:bodyDiv w:val="1"/>
      <w:marLeft w:val="0"/>
      <w:marRight w:val="0"/>
      <w:marTop w:val="0"/>
      <w:marBottom w:val="0"/>
      <w:divBdr>
        <w:top w:val="none" w:sz="0" w:space="0" w:color="auto"/>
        <w:left w:val="none" w:sz="0" w:space="0" w:color="auto"/>
        <w:bottom w:val="none" w:sz="0" w:space="0" w:color="auto"/>
        <w:right w:val="none" w:sz="0" w:space="0" w:color="auto"/>
      </w:divBdr>
    </w:div>
    <w:div w:id="1890802600">
      <w:bodyDiv w:val="1"/>
      <w:marLeft w:val="0"/>
      <w:marRight w:val="0"/>
      <w:marTop w:val="0"/>
      <w:marBottom w:val="0"/>
      <w:divBdr>
        <w:top w:val="none" w:sz="0" w:space="0" w:color="auto"/>
        <w:left w:val="none" w:sz="0" w:space="0" w:color="auto"/>
        <w:bottom w:val="none" w:sz="0" w:space="0" w:color="auto"/>
        <w:right w:val="none" w:sz="0" w:space="0" w:color="auto"/>
      </w:divBdr>
    </w:div>
    <w:div w:id="1894610986">
      <w:bodyDiv w:val="1"/>
      <w:marLeft w:val="0"/>
      <w:marRight w:val="0"/>
      <w:marTop w:val="0"/>
      <w:marBottom w:val="0"/>
      <w:divBdr>
        <w:top w:val="none" w:sz="0" w:space="0" w:color="auto"/>
        <w:left w:val="none" w:sz="0" w:space="0" w:color="auto"/>
        <w:bottom w:val="none" w:sz="0" w:space="0" w:color="auto"/>
        <w:right w:val="none" w:sz="0" w:space="0" w:color="auto"/>
      </w:divBdr>
    </w:div>
    <w:div w:id="1894999479">
      <w:bodyDiv w:val="1"/>
      <w:marLeft w:val="0"/>
      <w:marRight w:val="0"/>
      <w:marTop w:val="0"/>
      <w:marBottom w:val="0"/>
      <w:divBdr>
        <w:top w:val="none" w:sz="0" w:space="0" w:color="auto"/>
        <w:left w:val="none" w:sz="0" w:space="0" w:color="auto"/>
        <w:bottom w:val="none" w:sz="0" w:space="0" w:color="auto"/>
        <w:right w:val="none" w:sz="0" w:space="0" w:color="auto"/>
      </w:divBdr>
    </w:div>
    <w:div w:id="1895463551">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38559574">
      <w:bodyDiv w:val="1"/>
      <w:marLeft w:val="0"/>
      <w:marRight w:val="0"/>
      <w:marTop w:val="0"/>
      <w:marBottom w:val="0"/>
      <w:divBdr>
        <w:top w:val="none" w:sz="0" w:space="0" w:color="auto"/>
        <w:left w:val="none" w:sz="0" w:space="0" w:color="auto"/>
        <w:bottom w:val="none" w:sz="0" w:space="0" w:color="auto"/>
        <w:right w:val="none" w:sz="0" w:space="0" w:color="auto"/>
      </w:divBdr>
    </w:div>
    <w:div w:id="1946111261">
      <w:bodyDiv w:val="1"/>
      <w:marLeft w:val="0"/>
      <w:marRight w:val="0"/>
      <w:marTop w:val="0"/>
      <w:marBottom w:val="0"/>
      <w:divBdr>
        <w:top w:val="none" w:sz="0" w:space="0" w:color="auto"/>
        <w:left w:val="none" w:sz="0" w:space="0" w:color="auto"/>
        <w:bottom w:val="none" w:sz="0" w:space="0" w:color="auto"/>
        <w:right w:val="none" w:sz="0" w:space="0" w:color="auto"/>
      </w:divBdr>
    </w:div>
    <w:div w:id="1993832099">
      <w:bodyDiv w:val="1"/>
      <w:marLeft w:val="0"/>
      <w:marRight w:val="0"/>
      <w:marTop w:val="0"/>
      <w:marBottom w:val="0"/>
      <w:divBdr>
        <w:top w:val="none" w:sz="0" w:space="0" w:color="auto"/>
        <w:left w:val="none" w:sz="0" w:space="0" w:color="auto"/>
        <w:bottom w:val="none" w:sz="0" w:space="0" w:color="auto"/>
        <w:right w:val="none" w:sz="0" w:space="0" w:color="auto"/>
      </w:divBdr>
    </w:div>
    <w:div w:id="2044164369">
      <w:bodyDiv w:val="1"/>
      <w:marLeft w:val="0"/>
      <w:marRight w:val="0"/>
      <w:marTop w:val="0"/>
      <w:marBottom w:val="0"/>
      <w:divBdr>
        <w:top w:val="none" w:sz="0" w:space="0" w:color="auto"/>
        <w:left w:val="none" w:sz="0" w:space="0" w:color="auto"/>
        <w:bottom w:val="none" w:sz="0" w:space="0" w:color="auto"/>
        <w:right w:val="none" w:sz="0" w:space="0" w:color="auto"/>
      </w:divBdr>
    </w:div>
    <w:div w:id="2047439701">
      <w:bodyDiv w:val="1"/>
      <w:marLeft w:val="0"/>
      <w:marRight w:val="0"/>
      <w:marTop w:val="0"/>
      <w:marBottom w:val="0"/>
      <w:divBdr>
        <w:top w:val="none" w:sz="0" w:space="0" w:color="auto"/>
        <w:left w:val="none" w:sz="0" w:space="0" w:color="auto"/>
        <w:bottom w:val="none" w:sz="0" w:space="0" w:color="auto"/>
        <w:right w:val="none" w:sz="0" w:space="0" w:color="auto"/>
      </w:divBdr>
    </w:div>
    <w:div w:id="2072538924">
      <w:bodyDiv w:val="1"/>
      <w:marLeft w:val="0"/>
      <w:marRight w:val="0"/>
      <w:marTop w:val="0"/>
      <w:marBottom w:val="0"/>
      <w:divBdr>
        <w:top w:val="none" w:sz="0" w:space="0" w:color="auto"/>
        <w:left w:val="none" w:sz="0" w:space="0" w:color="auto"/>
        <w:bottom w:val="none" w:sz="0" w:space="0" w:color="auto"/>
        <w:right w:val="none" w:sz="0" w:space="0" w:color="auto"/>
      </w:divBdr>
    </w:div>
    <w:div w:id="2073381607">
      <w:bodyDiv w:val="1"/>
      <w:marLeft w:val="0"/>
      <w:marRight w:val="0"/>
      <w:marTop w:val="0"/>
      <w:marBottom w:val="0"/>
      <w:divBdr>
        <w:top w:val="none" w:sz="0" w:space="0" w:color="auto"/>
        <w:left w:val="none" w:sz="0" w:space="0" w:color="auto"/>
        <w:bottom w:val="none" w:sz="0" w:space="0" w:color="auto"/>
        <w:right w:val="none" w:sz="0" w:space="0" w:color="auto"/>
      </w:divBdr>
      <w:divsChild>
        <w:div w:id="1678773606">
          <w:marLeft w:val="0"/>
          <w:marRight w:val="0"/>
          <w:marTop w:val="0"/>
          <w:marBottom w:val="0"/>
          <w:divBdr>
            <w:top w:val="none" w:sz="0" w:space="0" w:color="auto"/>
            <w:left w:val="none" w:sz="0" w:space="0" w:color="auto"/>
            <w:bottom w:val="none" w:sz="0" w:space="0" w:color="auto"/>
            <w:right w:val="none" w:sz="0" w:space="0" w:color="auto"/>
          </w:divBdr>
          <w:divsChild>
            <w:div w:id="1971592360">
              <w:marLeft w:val="0"/>
              <w:marRight w:val="0"/>
              <w:marTop w:val="0"/>
              <w:marBottom w:val="0"/>
              <w:divBdr>
                <w:top w:val="none" w:sz="0" w:space="0" w:color="auto"/>
                <w:left w:val="none" w:sz="0" w:space="0" w:color="auto"/>
                <w:bottom w:val="none" w:sz="0" w:space="0" w:color="auto"/>
                <w:right w:val="none" w:sz="0" w:space="0" w:color="auto"/>
              </w:divBdr>
              <w:divsChild>
                <w:div w:id="837425050">
                  <w:marLeft w:val="0"/>
                  <w:marRight w:val="0"/>
                  <w:marTop w:val="0"/>
                  <w:marBottom w:val="0"/>
                  <w:divBdr>
                    <w:top w:val="none" w:sz="0" w:space="0" w:color="auto"/>
                    <w:left w:val="none" w:sz="0" w:space="0" w:color="auto"/>
                    <w:bottom w:val="none" w:sz="0" w:space="0" w:color="auto"/>
                    <w:right w:val="none" w:sz="0" w:space="0" w:color="auto"/>
                  </w:divBdr>
                  <w:divsChild>
                    <w:div w:id="1365911446">
                      <w:marLeft w:val="0"/>
                      <w:marRight w:val="0"/>
                      <w:marTop w:val="45"/>
                      <w:marBottom w:val="0"/>
                      <w:divBdr>
                        <w:top w:val="none" w:sz="0" w:space="0" w:color="auto"/>
                        <w:left w:val="none" w:sz="0" w:space="0" w:color="auto"/>
                        <w:bottom w:val="none" w:sz="0" w:space="0" w:color="auto"/>
                        <w:right w:val="none" w:sz="0" w:space="0" w:color="auto"/>
                      </w:divBdr>
                      <w:divsChild>
                        <w:div w:id="1150249360">
                          <w:marLeft w:val="0"/>
                          <w:marRight w:val="0"/>
                          <w:marTop w:val="0"/>
                          <w:marBottom w:val="0"/>
                          <w:divBdr>
                            <w:top w:val="none" w:sz="0" w:space="0" w:color="auto"/>
                            <w:left w:val="none" w:sz="0" w:space="0" w:color="auto"/>
                            <w:bottom w:val="none" w:sz="0" w:space="0" w:color="auto"/>
                            <w:right w:val="none" w:sz="0" w:space="0" w:color="auto"/>
                          </w:divBdr>
                          <w:divsChild>
                            <w:div w:id="116683209">
                              <w:marLeft w:val="2070"/>
                              <w:marRight w:val="3960"/>
                              <w:marTop w:val="0"/>
                              <w:marBottom w:val="0"/>
                              <w:divBdr>
                                <w:top w:val="none" w:sz="0" w:space="0" w:color="auto"/>
                                <w:left w:val="none" w:sz="0" w:space="0" w:color="auto"/>
                                <w:bottom w:val="none" w:sz="0" w:space="0" w:color="auto"/>
                                <w:right w:val="none" w:sz="0" w:space="0" w:color="auto"/>
                              </w:divBdr>
                              <w:divsChild>
                                <w:div w:id="1403021616">
                                  <w:marLeft w:val="0"/>
                                  <w:marRight w:val="0"/>
                                  <w:marTop w:val="0"/>
                                  <w:marBottom w:val="0"/>
                                  <w:divBdr>
                                    <w:top w:val="none" w:sz="0" w:space="0" w:color="auto"/>
                                    <w:left w:val="none" w:sz="0" w:space="0" w:color="auto"/>
                                    <w:bottom w:val="none" w:sz="0" w:space="0" w:color="auto"/>
                                    <w:right w:val="none" w:sz="0" w:space="0" w:color="auto"/>
                                  </w:divBdr>
                                  <w:divsChild>
                                    <w:div w:id="422528434">
                                      <w:marLeft w:val="0"/>
                                      <w:marRight w:val="0"/>
                                      <w:marTop w:val="0"/>
                                      <w:marBottom w:val="0"/>
                                      <w:divBdr>
                                        <w:top w:val="none" w:sz="0" w:space="0" w:color="auto"/>
                                        <w:left w:val="none" w:sz="0" w:space="0" w:color="auto"/>
                                        <w:bottom w:val="none" w:sz="0" w:space="0" w:color="auto"/>
                                        <w:right w:val="none" w:sz="0" w:space="0" w:color="auto"/>
                                      </w:divBdr>
                                      <w:divsChild>
                                        <w:div w:id="1518807220">
                                          <w:marLeft w:val="0"/>
                                          <w:marRight w:val="0"/>
                                          <w:marTop w:val="0"/>
                                          <w:marBottom w:val="0"/>
                                          <w:divBdr>
                                            <w:top w:val="none" w:sz="0" w:space="0" w:color="auto"/>
                                            <w:left w:val="none" w:sz="0" w:space="0" w:color="auto"/>
                                            <w:bottom w:val="none" w:sz="0" w:space="0" w:color="auto"/>
                                            <w:right w:val="none" w:sz="0" w:space="0" w:color="auto"/>
                                          </w:divBdr>
                                          <w:divsChild>
                                            <w:div w:id="1570000664">
                                              <w:marLeft w:val="0"/>
                                              <w:marRight w:val="0"/>
                                              <w:marTop w:val="90"/>
                                              <w:marBottom w:val="0"/>
                                              <w:divBdr>
                                                <w:top w:val="none" w:sz="0" w:space="0" w:color="auto"/>
                                                <w:left w:val="none" w:sz="0" w:space="0" w:color="auto"/>
                                                <w:bottom w:val="none" w:sz="0" w:space="0" w:color="auto"/>
                                                <w:right w:val="none" w:sz="0" w:space="0" w:color="auto"/>
                                              </w:divBdr>
                                              <w:divsChild>
                                                <w:div w:id="1072509854">
                                                  <w:marLeft w:val="0"/>
                                                  <w:marRight w:val="0"/>
                                                  <w:marTop w:val="0"/>
                                                  <w:marBottom w:val="0"/>
                                                  <w:divBdr>
                                                    <w:top w:val="none" w:sz="0" w:space="0" w:color="auto"/>
                                                    <w:left w:val="none" w:sz="0" w:space="0" w:color="auto"/>
                                                    <w:bottom w:val="none" w:sz="0" w:space="0" w:color="auto"/>
                                                    <w:right w:val="none" w:sz="0" w:space="0" w:color="auto"/>
                                                  </w:divBdr>
                                                  <w:divsChild>
                                                    <w:div w:id="1340691650">
                                                      <w:marLeft w:val="0"/>
                                                      <w:marRight w:val="0"/>
                                                      <w:marTop w:val="0"/>
                                                      <w:marBottom w:val="0"/>
                                                      <w:divBdr>
                                                        <w:top w:val="none" w:sz="0" w:space="0" w:color="auto"/>
                                                        <w:left w:val="none" w:sz="0" w:space="0" w:color="auto"/>
                                                        <w:bottom w:val="none" w:sz="0" w:space="0" w:color="auto"/>
                                                        <w:right w:val="none" w:sz="0" w:space="0" w:color="auto"/>
                                                      </w:divBdr>
                                                      <w:divsChild>
                                                        <w:div w:id="1569997297">
                                                          <w:marLeft w:val="0"/>
                                                          <w:marRight w:val="0"/>
                                                          <w:marTop w:val="0"/>
                                                          <w:marBottom w:val="0"/>
                                                          <w:divBdr>
                                                            <w:top w:val="none" w:sz="0" w:space="0" w:color="auto"/>
                                                            <w:left w:val="none" w:sz="0" w:space="0" w:color="auto"/>
                                                            <w:bottom w:val="none" w:sz="0" w:space="0" w:color="auto"/>
                                                            <w:right w:val="none" w:sz="0" w:space="0" w:color="auto"/>
                                                          </w:divBdr>
                                                          <w:divsChild>
                                                            <w:div w:id="846018856">
                                                              <w:marLeft w:val="0"/>
                                                              <w:marRight w:val="0"/>
                                                              <w:marTop w:val="0"/>
                                                              <w:marBottom w:val="390"/>
                                                              <w:divBdr>
                                                                <w:top w:val="none" w:sz="0" w:space="0" w:color="auto"/>
                                                                <w:left w:val="none" w:sz="0" w:space="0" w:color="auto"/>
                                                                <w:bottom w:val="none" w:sz="0" w:space="0" w:color="auto"/>
                                                                <w:right w:val="none" w:sz="0" w:space="0" w:color="auto"/>
                                                              </w:divBdr>
                                                              <w:divsChild>
                                                                <w:div w:id="1513488849">
                                                                  <w:marLeft w:val="0"/>
                                                                  <w:marRight w:val="0"/>
                                                                  <w:marTop w:val="0"/>
                                                                  <w:marBottom w:val="0"/>
                                                                  <w:divBdr>
                                                                    <w:top w:val="none" w:sz="0" w:space="0" w:color="auto"/>
                                                                    <w:left w:val="none" w:sz="0" w:space="0" w:color="auto"/>
                                                                    <w:bottom w:val="none" w:sz="0" w:space="0" w:color="auto"/>
                                                                    <w:right w:val="none" w:sz="0" w:space="0" w:color="auto"/>
                                                                  </w:divBdr>
                                                                  <w:divsChild>
                                                                    <w:div w:id="789393547">
                                                                      <w:marLeft w:val="0"/>
                                                                      <w:marRight w:val="0"/>
                                                                      <w:marTop w:val="0"/>
                                                                      <w:marBottom w:val="0"/>
                                                                      <w:divBdr>
                                                                        <w:top w:val="none" w:sz="0" w:space="0" w:color="auto"/>
                                                                        <w:left w:val="none" w:sz="0" w:space="0" w:color="auto"/>
                                                                        <w:bottom w:val="none" w:sz="0" w:space="0" w:color="auto"/>
                                                                        <w:right w:val="none" w:sz="0" w:space="0" w:color="auto"/>
                                                                      </w:divBdr>
                                                                      <w:divsChild>
                                                                        <w:div w:id="1231769473">
                                                                          <w:marLeft w:val="0"/>
                                                                          <w:marRight w:val="0"/>
                                                                          <w:marTop w:val="0"/>
                                                                          <w:marBottom w:val="0"/>
                                                                          <w:divBdr>
                                                                            <w:top w:val="none" w:sz="0" w:space="0" w:color="auto"/>
                                                                            <w:left w:val="none" w:sz="0" w:space="0" w:color="auto"/>
                                                                            <w:bottom w:val="none" w:sz="0" w:space="0" w:color="auto"/>
                                                                            <w:right w:val="none" w:sz="0" w:space="0" w:color="auto"/>
                                                                          </w:divBdr>
                                                                          <w:divsChild>
                                                                            <w:div w:id="1685131644">
                                                                              <w:marLeft w:val="0"/>
                                                                              <w:marRight w:val="0"/>
                                                                              <w:marTop w:val="0"/>
                                                                              <w:marBottom w:val="0"/>
                                                                              <w:divBdr>
                                                                                <w:top w:val="none" w:sz="0" w:space="0" w:color="auto"/>
                                                                                <w:left w:val="none" w:sz="0" w:space="0" w:color="auto"/>
                                                                                <w:bottom w:val="none" w:sz="0" w:space="0" w:color="auto"/>
                                                                                <w:right w:val="none" w:sz="0" w:space="0" w:color="auto"/>
                                                                              </w:divBdr>
                                                                              <w:divsChild>
                                                                                <w:div w:id="269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638251">
      <w:bodyDiv w:val="1"/>
      <w:marLeft w:val="0"/>
      <w:marRight w:val="0"/>
      <w:marTop w:val="0"/>
      <w:marBottom w:val="0"/>
      <w:divBdr>
        <w:top w:val="none" w:sz="0" w:space="0" w:color="auto"/>
        <w:left w:val="none" w:sz="0" w:space="0" w:color="auto"/>
        <w:bottom w:val="none" w:sz="0" w:space="0" w:color="auto"/>
        <w:right w:val="none" w:sz="0" w:space="0" w:color="auto"/>
      </w:divBdr>
    </w:div>
    <w:div w:id="2096316826">
      <w:bodyDiv w:val="1"/>
      <w:marLeft w:val="0"/>
      <w:marRight w:val="0"/>
      <w:marTop w:val="0"/>
      <w:marBottom w:val="0"/>
      <w:divBdr>
        <w:top w:val="none" w:sz="0" w:space="0" w:color="auto"/>
        <w:left w:val="none" w:sz="0" w:space="0" w:color="auto"/>
        <w:bottom w:val="none" w:sz="0" w:space="0" w:color="auto"/>
        <w:right w:val="none" w:sz="0" w:space="0" w:color="auto"/>
      </w:divBdr>
    </w:div>
    <w:div w:id="2097556217">
      <w:bodyDiv w:val="1"/>
      <w:marLeft w:val="0"/>
      <w:marRight w:val="0"/>
      <w:marTop w:val="0"/>
      <w:marBottom w:val="0"/>
      <w:divBdr>
        <w:top w:val="none" w:sz="0" w:space="0" w:color="auto"/>
        <w:left w:val="none" w:sz="0" w:space="0" w:color="auto"/>
        <w:bottom w:val="none" w:sz="0" w:space="0" w:color="auto"/>
        <w:right w:val="none" w:sz="0" w:space="0" w:color="auto"/>
      </w:divBdr>
    </w:div>
    <w:div w:id="2099403053">
      <w:bodyDiv w:val="1"/>
      <w:marLeft w:val="0"/>
      <w:marRight w:val="0"/>
      <w:marTop w:val="0"/>
      <w:marBottom w:val="0"/>
      <w:divBdr>
        <w:top w:val="none" w:sz="0" w:space="0" w:color="auto"/>
        <w:left w:val="none" w:sz="0" w:space="0" w:color="auto"/>
        <w:bottom w:val="none" w:sz="0" w:space="0" w:color="auto"/>
        <w:right w:val="none" w:sz="0" w:space="0" w:color="auto"/>
      </w:divBdr>
    </w:div>
    <w:div w:id="2121409170">
      <w:bodyDiv w:val="1"/>
      <w:marLeft w:val="0"/>
      <w:marRight w:val="0"/>
      <w:marTop w:val="0"/>
      <w:marBottom w:val="0"/>
      <w:divBdr>
        <w:top w:val="none" w:sz="0" w:space="0" w:color="auto"/>
        <w:left w:val="none" w:sz="0" w:space="0" w:color="auto"/>
        <w:bottom w:val="none" w:sz="0" w:space="0" w:color="auto"/>
        <w:right w:val="none" w:sz="0" w:space="0" w:color="auto"/>
      </w:divBdr>
    </w:div>
    <w:div w:id="21247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4eda4ad6-7ef7-4305-ba1e-934f809bdd01"/>
    <ds:schemaRef ds:uri="http://purl.org/dc/terms/"/>
    <ds:schemaRef ds:uri="http://schemas.openxmlformats.org/package/2006/metadata/core-properties"/>
    <ds:schemaRef ds:uri="http://schemas.microsoft.com/office/2006/documentManagement/types"/>
    <ds:schemaRef ds:uri="58569e35-c074-42ac-b0e0-5012f8e6d690"/>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95FDC8BA-A996-45C5-BF6A-AB67D0C7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22</Pages>
  <Words>8208</Words>
  <Characters>46791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54890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GALBRAITH, Sally</cp:lastModifiedBy>
  <cp:revision>43</cp:revision>
  <cp:lastPrinted>2019-07-17T02:40:00Z</cp:lastPrinted>
  <dcterms:created xsi:type="dcterms:W3CDTF">2019-07-18T00:56:00Z</dcterms:created>
  <dcterms:modified xsi:type="dcterms:W3CDTF">2019-07-18T04:51:00Z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